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cTAKES USDHUB Batch 1 processing report</w:t>
      </w:r>
    </w:p>
    <w:p>
      <w:pPr>
        <w:pStyle w:val="Author"/>
      </w:pPr>
      <w:r>
        <w:t xml:space="preserve">Dr. Layth Qassem, PharmD, MSACI</w:t>
      </w:r>
    </w:p>
    <w:bookmarkStart w:id="26" w:name="ctakes-usdhub-batch-1-processing-report"/>
    <w:p>
      <w:pPr>
        <w:pStyle w:val="Heading1"/>
      </w:pPr>
      <w:r>
        <w:t xml:space="preserve">cTAKES USDHUB Batch 1 processing report</w:t>
      </w:r>
    </w:p>
    <w:p>
      <w:pPr>
        <w:pStyle w:val="FirstParagraph"/>
      </w:pPr>
      <w:r>
        <w:t xml:space="preserve">Run date: July 24-25, 2026</w:t>
      </w:r>
    </w:p>
    <w:p>
      <w:pPr>
        <w:pStyle w:val="BodyText"/>
      </w:pPr>
      <w:r>
        <w:t xml:space="preserve">Report date: July 25, 2026</w:t>
      </w:r>
    </w:p>
    <w:p>
      <w:pPr>
        <w:pStyle w:val="BodyText"/>
      </w:pPr>
      <w:r>
        <w:t xml:space="preserve">Run ID:</w:t>
      </w:r>
      <w:r>
        <w:t xml:space="preserve"> </w:t>
      </w:r>
      <w:r>
        <w:rPr>
          <w:rStyle w:val="VerbatimChar"/>
        </w:rPr>
        <w:t xml:space="preserve">ctakes-async-20260724T232510Z-3615680</w:t>
      </w:r>
    </w:p>
    <w:p>
      <w:pPr>
        <w:pStyle w:val="BodyText"/>
      </w:pPr>
      <w:r>
        <w:t xml:space="preserve">Wrapper release:</w:t>
      </w:r>
      <w:r>
        <w:t xml:space="preserve"> </w:t>
      </w:r>
      <w:r>
        <w:rPr>
          <w:rStyle w:val="VerbatimChar"/>
        </w:rPr>
        <w:t xml:space="preserve">2.1.19_2026AA.r1_6.0.0</w:t>
      </w:r>
    </w:p>
    <w:bookmarkStart w:id="12" w:name="batch-1-result"/>
    <w:p>
      <w:pPr>
        <w:pStyle w:val="Heading2"/>
      </w:pPr>
      <w:r>
        <w:t xml:space="preserve">Batch 1 result</w:t>
      </w:r>
    </w:p>
    <w:p>
      <w:pPr>
        <w:pStyle w:val="FirstParagraph"/>
      </w:pPr>
      <w:r>
        <w:t xml:space="preserve">Batch 1 completed all 1,708,157 notes in 9 hours, 47 minutes, and 21 seconds. The final manifest is complete, the sanity report passed, WSD runtime validation passed, and the current delivery was accepted. The run used the locked USDHUB settings: STAR pipeline, SQLite plus two CSVs, WSD on, strict filenames, and XMI off.</w:t>
      </w:r>
    </w:p>
    <w:p>
      <w:pPr>
        <w:pStyle w:val="CaptionedFigure"/>
      </w:pPr>
      <w:r>
        <w:drawing>
          <wp:inline>
            <wp:extent cx="5334000" cy="2181079"/>
            <wp:effectExtent b="0" l="0" r="0" t="0"/>
            <wp:docPr descr="Batch 1 TUI completion screen showing 1,708,157 of 1,708,157 notes complete and output checks passed." title="" id="10" name="Picture"/>
            <a:graphic>
              <a:graphicData uri="http://schemas.openxmlformats.org/drawingml/2006/picture">
                <pic:pic>
                  <pic:nvPicPr>
                    <pic:cNvPr descr="assets/batch-1/batch-1-complete.png" id="11" name="Picture"/>
                    <pic:cNvPicPr>
                      <a:picLocks noChangeArrowheads="1" noChangeAspect="1"/>
                    </pic:cNvPicPr>
                  </pic:nvPicPr>
                  <pic:blipFill>
                    <a:blip r:embed="rId9"/>
                    <a:stretch>
                      <a:fillRect/>
                    </a:stretch>
                  </pic:blipFill>
                  <pic:spPr bwMode="auto">
                    <a:xfrm>
                      <a:off x="0" y="0"/>
                      <a:ext cx="5334000" cy="2181079"/>
                    </a:xfrm>
                    <a:prstGeom prst="rect">
                      <a:avLst/>
                    </a:prstGeom>
                    <a:noFill/>
                    <a:ln w="9525">
                      <a:noFill/>
                      <a:headEnd/>
                      <a:tailEnd/>
                    </a:ln>
                  </pic:spPr>
                </pic:pic>
              </a:graphicData>
            </a:graphic>
          </wp:inline>
        </w:drawing>
      </w:r>
    </w:p>
    <w:p>
      <w:pPr>
        <w:pStyle w:val="ImageCaption"/>
      </w:pPr>
      <w:r>
        <w:t xml:space="preserve">Batch 1 TUI completion screen showing 1,708,157 of 1,708,157 notes complete and output checks passed.</w:t>
      </w:r>
    </w:p>
    <w:p>
      <w:pPr>
        <w:pStyle w:val="BodyText"/>
      </w:pPr>
      <w:r>
        <w:t>The no-write input check inventoried the complete batch once and finished in about 29 seconds. The accepted recovery contract then split the notes across four async shards, assigned four pipeline threads and a 16,384 MB Java heap ceiling to each shard, and kept the aggregate Java heap ceiling at 65,536 MB. All four workers completed, combined observed memory stayed near 50-52 GB, and 627.7 GB remained free on the output volume after finalization.</w:t>
      </w:r>
    </w:p>
    <w:p>
      <w:pPr>
        <w:pStyle w:val="Heading3"/>
      </w:pPr>
      <w:r>
        <w:t>Compute and run specification</w:t>
      </w:r>
    </w:p>
    <w:tbl>
      <w:tblPr>
        <w:tblW w:type="auto" w:w="0"/>
        <w:jc w:val="center"/>
        <w:tblLook w:firstColumn="1" w:firstRow="1" w:lastColumn="0" w:lastRow="0" w:noHBand="0" w:noVBand="1" w:val="04A0"/>
      </w:tblPr>
      <w:tblGrid>
        <w:gridCol w:w="3120"/>
        <w:gridCol w:w="3120"/>
        <w:gridCol w:w="3120"/>
      </w:tblGrid>
      <w:tr>
        <w:tc>
          <w:tcPr>
            <w:tcW w:type="dxa" w:w="3120"/>
            <w:shd w:fill="1F4E79"/>
          </w:tcPr>
          <w:p>
            <w:r>
              <w:rPr>
                <w:b/>
                <w:color w:val="FFFFFF"/>
              </w:rPr>
              <w:t>Specification</w:t>
            </w:r>
          </w:p>
        </w:tc>
        <w:tc>
          <w:tcPr>
            <w:tcW w:type="dxa" w:w="3120"/>
            <w:shd w:fill="1F4E79"/>
          </w:tcPr>
          <w:p>
            <w:r>
              <w:rPr>
                <w:b/>
                <w:color w:val="FFFFFF"/>
              </w:rPr>
              <w:t>Batch 1 value</w:t>
            </w:r>
          </w:p>
        </w:tc>
        <w:tc>
          <w:tcPr>
            <w:tcW w:type="dxa" w:w="3120"/>
            <w:shd w:fill="1F4E79"/>
          </w:tcPr>
          <w:p>
            <w:r>
              <w:rPr>
                <w:b/>
                <w:color w:val="FFFFFF"/>
              </w:rPr>
              <w:t>Evidence boundary</w:t>
            </w:r>
          </w:p>
        </w:tc>
      </w:tr>
      <w:tr>
        <w:tc>
          <w:tcPr>
            <w:tcW w:type="dxa" w:w="3120"/>
            <w:vAlign w:val="center"/>
          </w:tcPr>
          <w:p>
            <w:r>
              <w:t>Compute host</w:t>
            </w:r>
          </w:p>
        </w:tc>
        <w:tc>
          <w:tcPr>
            <w:tcW w:type="dxa" w:w="3120"/>
            <w:vAlign w:val="center"/>
          </w:tcPr>
          <w:p>
            <w:r>
              <w:t>CPM2, Linux x86-64</w:t>
            </w:r>
          </w:p>
        </w:tc>
        <w:tc>
          <w:tcPr>
            <w:tcW w:type="dxa" w:w="3120"/>
            <w:vAlign w:val="center"/>
          </w:tcPr>
          <w:p>
            <w:r>
              <w:t>Run location plus host inspection</w:t>
            </w:r>
          </w:p>
        </w:tc>
      </w:tr>
      <w:tr>
        <w:tc>
          <w:tcPr>
            <w:tcW w:type="dxa" w:w="3120"/>
            <w:vAlign w:val="center"/>
            <w:shd w:fill="EAF1F8"/>
          </w:tcPr>
          <w:p>
            <w:r>
              <w:t>CPU capacity</w:t>
            </w:r>
          </w:p>
        </w:tc>
        <w:tc>
          <w:tcPr>
            <w:tcW w:type="dxa" w:w="3120"/>
            <w:vAlign w:val="center"/>
            <w:shd w:fill="EAF1F8"/>
          </w:tcPr>
          <w:p>
            <w:r>
              <w:t>2 Intel Xeon Silver 4216 sockets at 2.10 GHz; 32 physical cores; 64 logical CPUs</w:t>
            </w:r>
          </w:p>
        </w:tc>
        <w:tc>
          <w:tcPr>
            <w:tcW w:type="dxa" w:w="3120"/>
            <w:vAlign w:val="center"/>
            <w:shd w:fill="EAF1F8"/>
          </w:tcPr>
          <w:p>
            <w:r>
              <w:t>lscpu inspection after the run</w:t>
            </w:r>
          </w:p>
        </w:tc>
      </w:tr>
      <w:tr>
        <w:tc>
          <w:tcPr>
            <w:tcW w:type="dxa" w:w="3120"/>
            <w:vAlign w:val="center"/>
          </w:tcPr>
          <w:p>
            <w:r>
              <w:t>Installed memory</w:t>
            </w:r>
          </w:p>
        </w:tc>
        <w:tc>
          <w:tcPr>
            <w:tcW w:type="dxa" w:w="3120"/>
            <w:vAlign w:val="center"/>
          </w:tcPr>
          <w:p>
            <w:r>
              <w:t>404.7 GB decimal, about 376.9 GiB</w:t>
            </w:r>
          </w:p>
        </w:tc>
        <w:tc>
          <w:tcPr>
            <w:tcW w:type="dxa" w:w="3120"/>
            <w:vAlign w:val="center"/>
          </w:tcPr>
          <w:p>
            <w:r>
              <w:t>free -b inspection after the run</w:t>
            </w:r>
          </w:p>
        </w:tc>
      </w:tr>
      <w:tr>
        <w:tc>
          <w:tcPr>
            <w:tcW w:type="dxa" w:w="3120"/>
            <w:vAlign w:val="center"/>
            <w:shd w:fill="EAF1F8"/>
          </w:tcPr>
          <w:p>
            <w:r>
              <w:t>Async shards</w:t>
            </w:r>
          </w:p>
        </w:tc>
        <w:tc>
          <w:tcPr>
            <w:tcW w:type="dxa" w:w="3120"/>
            <w:vAlign w:val="center"/>
            <w:shd w:fill="EAF1F8"/>
          </w:tcPr>
          <w:p>
            <w:r>
              <w:t>4</w:t>
            </w:r>
          </w:p>
        </w:tc>
        <w:tc>
          <w:tcPr>
            <w:tcW w:type="dxa" w:w="3120"/>
            <w:vAlign w:val="center"/>
            <w:shd w:fill="EAF1F8"/>
          </w:tcPr>
          <w:p>
            <w:r>
              <w:t>Accepted recovery_contract.json</w:t>
            </w:r>
          </w:p>
        </w:tc>
      </w:tr>
      <w:tr>
        <w:tc>
          <w:tcPr>
            <w:tcW w:type="dxa" w:w="3120"/>
            <w:vAlign w:val="center"/>
          </w:tcPr>
          <w:p>
            <w:r>
              <w:t>Pipeline threads</w:t>
            </w:r>
          </w:p>
        </w:tc>
        <w:tc>
          <w:tcPr>
            <w:tcW w:type="dxa" w:w="3120"/>
            <w:vAlign w:val="center"/>
          </w:tcPr>
          <w:p>
            <w:r>
              <w:t>4 per shard; 16 aggregate</w:t>
            </w:r>
          </w:p>
        </w:tc>
        <w:tc>
          <w:tcPr>
            <w:tcW w:type="dxa" w:w="3120"/>
            <w:vAlign w:val="center"/>
          </w:tcPr>
          <w:p>
            <w:r>
              <w:t>Accepted recovery_contract.json</w:t>
            </w:r>
          </w:p>
        </w:tc>
      </w:tr>
      <w:tr>
        <w:tc>
          <w:tcPr>
            <w:tcW w:type="dxa" w:w="3120"/>
            <w:vAlign w:val="center"/>
            <w:shd w:fill="EAF1F8"/>
          </w:tcPr>
          <w:p>
            <w:r>
              <w:t>Java Xmx</w:t>
            </w:r>
          </w:p>
        </w:tc>
        <w:tc>
          <w:tcPr>
            <w:tcW w:type="dxa" w:w="3120"/>
            <w:vAlign w:val="center"/>
            <w:shd w:fill="EAF1F8"/>
          </w:tcPr>
          <w:p>
            <w:r>
              <w:t>16,384 MB per shard; 65,536 MB aggregate ceiling</w:t>
            </w:r>
          </w:p>
        </w:tc>
        <w:tc>
          <w:tcPr>
            <w:tcW w:type="dxa" w:w="3120"/>
            <w:vAlign w:val="center"/>
            <w:shd w:fill="EAF1F8"/>
          </w:tcPr>
          <w:p>
            <w:r>
              <w:t>Accepted recovery_contract.json</w:t>
            </w:r>
          </w:p>
        </w:tc>
      </w:tr>
      <w:tr>
        <w:tc>
          <w:tcPr>
            <w:tcW w:type="dxa" w:w="3120"/>
            <w:vAlign w:val="center"/>
          </w:tcPr>
          <w:p>
            <w:r>
              <w:t>Clinical settings</w:t>
            </w:r>
          </w:p>
        </w:tc>
        <w:tc>
          <w:tcPr>
            <w:tcW w:type="dxa" w:w="3120"/>
            <w:vAlign w:val="center"/>
          </w:tcPr>
          <w:p>
            <w:r>
              <w:t>STAR; SQLite plus two CSVs; WSD on; strict filenames; XMI off</w:t>
            </w:r>
          </w:p>
        </w:tc>
        <w:tc>
          <w:tcPr>
            <w:tcW w:type="dxa" w:w="3120"/>
            <w:vAlign w:val="center"/>
          </w:tcPr>
          <w:p>
            <w:r>
              <w:t>Run manifest and receipt read-back</w:t>
            </w:r>
          </w:p>
        </w:tc>
      </w:tr>
      <w:tr>
        <w:tc>
          <w:tcPr>
            <w:tcW w:type="dxa" w:w="3120"/>
            <w:vAlign w:val="center"/>
            <w:shd w:fill="EAF1F8"/>
          </w:tcPr>
          <w:p>
            <w:r>
              <w:t>Software identity</w:t>
            </w:r>
          </w:p>
        </w:tc>
        <w:tc>
          <w:tcPr>
            <w:tcW w:type="dxa" w:w="3120"/>
            <w:vAlign w:val="center"/>
            <w:shd w:fill="EAF1F8"/>
          </w:tcPr>
          <w:p>
            <w:r>
              <w:t>Wrapper 2.1.19_2026AA.r1_6.0.0; Apache cTAKES 6.0.0; UMLS 2026AA</w:t>
            </w:r>
          </w:p>
        </w:tc>
        <w:tc>
          <w:tcPr>
            <w:tcW w:type="dxa" w:w="3120"/>
            <w:vAlign w:val="center"/>
            <w:shd w:fill="EAF1F8"/>
          </w:tcPr>
          <w:p>
            <w:r>
              <w:t>Run manifest and dictionary receipt</w:t>
            </w:r>
          </w:p>
        </w:tc>
      </w:tr>
    </w:tbl>
    <w:p>
      <w:pPr>
        <w:pStyle w:val="BodyText"/>
      </w:pPr>
      <w:r>
        <w:t>The run receipts bind the four-shard plan and exact software assets. The CPU model and installed-memory totals were read from CPM2 after completion because the run manifest does not duplicate the complete host hardware inventory.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Measure</w:t>
            </w:r>
          </w:p>
        </w:tc>
        <w:tc>
          <w:tcPr/>
          <w:p>
            <w:pPr>
              <w:pStyle w:val="Compact"/>
              <w:jc w:val="right"/>
            </w:pPr>
            <w:r>
              <w:t xml:space="preserve">Batch 1</w:t>
            </w:r>
          </w:p>
        </w:tc>
      </w:tr>
      <w:tr>
        <w:tc>
          <w:tcPr/>
          <w:p>
            <w:pPr>
              <w:pStyle w:val="Compact"/>
            </w:pPr>
            <w:r>
              <w:t xml:space="preserve">Notes processed</w:t>
            </w:r>
          </w:p>
        </w:tc>
        <w:tc>
          <w:tcPr/>
          <w:p>
            <w:pPr>
              <w:pStyle w:val="Compact"/>
              <w:jc w:val="right"/>
            </w:pPr>
            <w:r>
              <w:t xml:space="preserve">1,708,157</w:t>
            </w:r>
          </w:p>
        </w:tc>
      </w:tr>
      <w:tr>
        <w:tc>
          <w:tcPr/>
          <w:p>
            <w:pPr>
              <w:pStyle w:val="Compact"/>
            </w:pPr>
            <w:r>
              <w:t xml:space="preserve">Distinct HubIDs</w:t>
            </w:r>
          </w:p>
        </w:tc>
        <w:tc>
          <w:tcPr/>
          <w:p>
            <w:pPr>
              <w:pStyle w:val="Compact"/>
              <w:jc w:val="right"/>
            </w:pPr>
            <w:r>
              <w:t xml:space="preserve">4,996</w:t>
            </w:r>
          </w:p>
        </w:tc>
      </w:tr>
      <w:tr>
        <w:tc>
          <w:tcPr/>
          <w:p>
            <w:pPr>
              <w:pStyle w:val="Compact"/>
            </w:pPr>
            <w:r>
              <w:t xml:space="preserve">Average notes per HubID</w:t>
            </w:r>
          </w:p>
        </w:tc>
        <w:tc>
          <w:tcPr/>
          <w:p>
            <w:pPr>
              <w:pStyle w:val="Compact"/>
              <w:jc w:val="right"/>
            </w:pPr>
            <w:r>
              <w:t xml:space="preserve">342</w:t>
            </w:r>
          </w:p>
        </w:tc>
      </w:tr>
      <w:tr>
        <w:tc>
          <w:tcPr/>
          <w:p>
            <w:pPr>
              <w:pStyle w:val="Compact"/>
            </w:pPr>
            <w:r>
              <w:t xml:space="preserve">Processing window</w:t>
            </w:r>
          </w:p>
        </w:tc>
        <w:tc>
          <w:tcPr/>
          <w:p>
            <w:pPr>
              <w:pStyle w:val="Compact"/>
              <w:jc w:val="right"/>
            </w:pPr>
            <w:r>
              <w:t xml:space="preserve">7h 53m 24s</w:t>
            </w:r>
          </w:p>
        </w:tc>
      </w:tr>
      <w:tr>
        <w:tc>
          <w:tcPr/>
          <w:p>
            <w:pPr>
              <w:pStyle w:val="Compact"/>
            </w:pPr>
            <w:r>
              <w:t xml:space="preserve">Processing rate</w:t>
            </w:r>
          </w:p>
        </w:tc>
        <w:tc>
          <w:tcPr/>
          <w:p>
            <w:pPr>
              <w:pStyle w:val="Compact"/>
              <w:jc w:val="right"/>
            </w:pPr>
            <w:r>
              <w:t xml:space="preserve">60.14 notes/second</w:t>
            </w:r>
          </w:p>
        </w:tc>
      </w:tr>
      <w:tr>
        <w:tc>
          <w:tcPr/>
          <w:p>
            <w:pPr>
              <w:pStyle w:val="Compact"/>
            </w:pPr>
            <w:r>
              <w:t xml:space="preserve">Engine wall time</w:t>
            </w:r>
          </w:p>
        </w:tc>
        <w:tc>
          <w:tcPr/>
          <w:p>
            <w:pPr>
              <w:pStyle w:val="Compact"/>
              <w:jc w:val="right"/>
            </w:pPr>
            <w:r>
              <w:t xml:space="preserve">8h 03m 12s</w:t>
            </w:r>
          </w:p>
        </w:tc>
      </w:tr>
      <w:tr>
        <w:tc>
          <w:tcPr/>
          <w:p>
            <w:pPr>
              <w:pStyle w:val="Compact"/>
            </w:pPr>
            <w:r>
              <w:t xml:space="preserve">Post-engine validation and export</w:t>
            </w:r>
          </w:p>
        </w:tc>
        <w:tc>
          <w:tcPr/>
          <w:p>
            <w:pPr>
              <w:pStyle w:val="Compact"/>
              <w:jc w:val="right"/>
            </w:pPr>
            <w:r>
              <w:t xml:space="preserve">1h 43m 46s</w:t>
            </w:r>
          </w:p>
        </w:tc>
      </w:tr>
      <w:tr>
        <w:tc>
          <w:tcPr/>
          <w:p>
            <w:pPr>
              <w:pStyle w:val="Compact"/>
            </w:pPr>
            <w:r>
              <w:t xml:space="preserve">Complete wall time</w:t>
            </w:r>
          </w:p>
        </w:tc>
        <w:tc>
          <w:tcPr/>
          <w:p>
            <w:pPr>
              <w:pStyle w:val="Compact"/>
              <w:jc w:val="right"/>
            </w:pPr>
            <w:r>
              <w:t xml:space="preserve">9h 47m 21s</w:t>
            </w:r>
          </w:p>
        </w:tc>
      </w:tr>
    </w:tbl>
    <w:p>
      <w:pPr>
        <w:pStyle w:val="BodyText"/>
      </w:pPr>
      <w:r>
        <w:t xml:space="preserve">Two</w:t>
      </w:r>
      <w:r>
        <w:t xml:space="preserve"> </w:t>
      </w:r>
      <w:r>
        <w:rPr>
          <w:rStyle w:val="VerbatimChar"/>
        </w:rPr>
        <w:t xml:space="preserve">RegexSpanFinder</w:t>
      </w:r>
      <w:r>
        <w:t xml:space="preserve"> </w:t>
      </w:r>
      <w:r>
        <w:t xml:space="preserve">timeout messages occurred in one worker. They did not stop the worker or the batch, and the final document count still matched the planned count. They remain note-level exceptions to review because a completed batch does not prove that every possible annotation was recovered from those two timed-out regex operations.</w:t>
      </w:r>
    </w:p>
    <w:bookmarkEnd w:id="12"/>
    <w:bookmarkStart w:id="16" w:name="output-and-receipt-checks"/>
    <w:p>
      <w:pPr>
        <w:pStyle w:val="Heading2"/>
      </w:pPr>
      <w:r>
        <w:t xml:space="preserve">Output and receipt checks</w:t>
      </w:r>
    </w:p>
    <w:p>
      <w:pPr>
        <w:pStyle w:val="FirstParagraph"/>
      </w:pPr>
      <w:r>
        <w:t xml:space="preserve">The accepted run contains 142,891,564 concept rows and 11,004,425 medication candidate rows. The two CSVs matched the scoped SQLite views during the final read-back check.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Artifact</w:t>
            </w:r>
          </w:p>
        </w:tc>
        <w:tc>
          <w:tcPr/>
          <w:p>
            <w:pPr>
              <w:pStyle w:val="Compact"/>
              <w:jc w:val="right"/>
            </w:pPr>
            <w:r>
              <w:t xml:space="preserve">Approximate size</w:t>
            </w:r>
          </w:p>
        </w:tc>
        <w:tc>
          <w:tcPr/>
          <w:p>
            <w:pPr>
              <w:pStyle w:val="Compact"/>
            </w:pPr>
            <w:r>
              <w:t xml:space="preserve">Status</w:t>
            </w:r>
          </w:p>
        </w:tc>
      </w:tr>
      <w:tr>
        <w:tc>
          <w:tcPr/>
          <w:p>
            <w:pPr>
              <w:pStyle w:val="Compact"/>
            </w:pPr>
            <w:r>
              <w:rPr>
                <w:rStyle w:val="VerbatimChar"/>
              </w:rPr>
              <w:t xml:space="preserve">annotations.sqlite</w:t>
            </w:r>
          </w:p>
        </w:tc>
        <w:tc>
          <w:tcPr/>
          <w:p>
            <w:pPr>
              <w:pStyle w:val="Compact"/>
              <w:jc w:val="right"/>
            </w:pPr>
            <w:r>
              <w:t xml:space="preserve">81.47 GB</w:t>
            </w:r>
          </w:p>
        </w:tc>
        <w:tc>
          <w:tcPr/>
          <w:p>
            <w:pPr>
              <w:pStyle w:val="Compact"/>
            </w:pPr>
            <w:r>
              <w:t xml:space="preserve">SQLite schema 8, checked</w:t>
            </w:r>
          </w:p>
        </w:tc>
      </w:tr>
      <w:tr>
        <w:tc>
          <w:tcPr/>
          <w:p>
            <w:pPr>
              <w:pStyle w:val="Compact"/>
            </w:pPr>
            <w:r>
              <w:rPr>
                <w:rStyle w:val="VerbatimChar"/>
              </w:rPr>
              <w:t xml:space="preserve">concepts.csv</w:t>
            </w:r>
          </w:p>
        </w:tc>
        <w:tc>
          <w:tcPr/>
          <w:p>
            <w:pPr>
              <w:pStyle w:val="Compact"/>
              <w:jc w:val="right"/>
            </w:pPr>
            <w:r>
              <w:t xml:space="preserve">19.73 GB</w:t>
            </w:r>
          </w:p>
        </w:tc>
        <w:tc>
          <w:tcPr/>
          <w:p>
            <w:pPr>
              <w:pStyle w:val="Compact"/>
            </w:pPr>
            <w:r>
              <w:t xml:space="preserve">Row and cell parity checked</w:t>
            </w:r>
          </w:p>
        </w:tc>
      </w:tr>
      <w:tr>
        <w:tc>
          <w:tcPr/>
          <w:p>
            <w:pPr>
              <w:pStyle w:val="Compact"/>
            </w:pPr>
            <w:r>
              <w:rPr>
                <w:rStyle w:val="VerbatimChar"/>
              </w:rPr>
              <w:t xml:space="preserve">drugs.csv</w:t>
            </w:r>
          </w:p>
        </w:tc>
        <w:tc>
          <w:tcPr/>
          <w:p>
            <w:pPr>
              <w:pStyle w:val="Compact"/>
              <w:jc w:val="right"/>
            </w:pPr>
            <w:r>
              <w:t xml:space="preserve">1.53 GB</w:t>
            </w:r>
          </w:p>
        </w:tc>
        <w:tc>
          <w:tcPr/>
          <w:p>
            <w:pPr>
              <w:pStyle w:val="Compact"/>
            </w:pPr>
            <w:r>
              <w:t xml:space="preserve">Row and cell parity checked</w:t>
            </w:r>
          </w:p>
        </w:tc>
      </w:tr>
      <w:tr>
        <w:tc>
          <w:tcPr/>
          <w:p>
            <w:pPr>
              <w:pStyle w:val="Compact"/>
            </w:pPr>
            <w:r>
              <w:rPr>
                <w:rStyle w:val="VerbatimChar"/>
              </w:rPr>
              <w:t xml:space="preserve">run_manifest.json</w:t>
            </w:r>
          </w:p>
        </w:tc>
        <w:tc>
          <w:tcPr/>
          <w:p>
            <w:pPr>
              <w:pStyle w:val="Compact"/>
              <w:jc w:val="right"/>
            </w:pPr>
            <w:r>
              <w:t xml:space="preserve">8.9 KB</w:t>
            </w:r>
          </w:p>
        </w:tc>
        <w:tc>
          <w:tcPr/>
          <w:p>
            <w:pPr>
              <w:pStyle w:val="Compact"/>
            </w:pPr>
            <w:r>
              <w:t xml:space="preserve">Complete</w:t>
            </w:r>
          </w:p>
        </w:tc>
      </w:tr>
      <w:tr>
        <w:tc>
          <w:tcPr/>
          <w:p>
            <w:pPr>
              <w:pStyle w:val="Compact"/>
            </w:pPr>
            <w:r>
              <w:rPr>
                <w:rStyle w:val="VerbatimChar"/>
              </w:rPr>
              <w:t xml:space="preserve">sanity_report.json</w:t>
            </w:r>
          </w:p>
        </w:tc>
        <w:tc>
          <w:tcPr/>
          <w:p>
            <w:pPr>
              <w:pStyle w:val="Compact"/>
              <w:jc w:val="right"/>
            </w:pPr>
            <w:r>
              <w:t xml:space="preserve">2.0 KB</w:t>
            </w:r>
          </w:p>
        </w:tc>
        <w:tc>
          <w:tcPr/>
          <w:p>
            <w:pPr>
              <w:pStyle w:val="Compact"/>
            </w:pPr>
            <w:r>
              <w:t xml:space="preserve">Pass, zero errors</w:t>
            </w:r>
          </w:p>
        </w:tc>
      </w:tr>
      <w:tr>
        <w:tc>
          <w:tcPr/>
          <w:p>
            <w:pPr>
              <w:pStyle w:val="Compact"/>
            </w:pPr>
            <w:r>
              <w:rPr>
                <w:rStyle w:val="VerbatimChar"/>
              </w:rPr>
              <w:t xml:space="preserve">wsd_validation.json</w:t>
            </w:r>
          </w:p>
        </w:tc>
        <w:tc>
          <w:tcPr/>
          <w:p>
            <w:pPr>
              <w:pStyle w:val="Compact"/>
              <w:jc w:val="right"/>
            </w:pPr>
            <w:r>
              <w:t xml:space="preserve">1.0 KB</w:t>
            </w:r>
          </w:p>
        </w:tc>
        <w:tc>
          <w:tcPr/>
          <w:p>
            <w:pPr>
              <w:pStyle w:val="Compact"/>
            </w:pPr>
            <w:r>
              <w:t xml:space="preserve">Runtime pass</w:t>
            </w:r>
          </w:p>
        </w:tc>
      </w:tr>
    </w:tbl>
    <w:p>
      <w:pPr>
        <w:pStyle w:val="BodyText"/>
      </w:pPr>
      <w:r>
        <w:t xml:space="preserve">The three main data files use about 102.73 GB in total. GB uses decimal storage units, where 1 GB equals 1,000,000,000 bytes.</w:t>
      </w:r>
    </w:p>
    <w:p>
      <w:pPr>
        <w:pStyle w:val="BodyText"/>
      </w:pPr>
      <w:r>
        <w:t>The completed run keeps concepts.csv and drugs.csv inside the run folder because validation, recovery, and the viewer depend on those fixed canonical names. After the run passes, the wrapper creates one owner-only handoff copy for each logical CSV under named-csv/. Because the selected input folder was batch_1, the automatic Batch 1 handoff is:</w:t>
      </w:r>
    </w:p>
    <w:p>
      <w:pPr>
        <w:pStyle w:val="SourceCode"/>
      </w:pPr>
      <w:r>
        <w:rPr>
          <w:rStyle w:val="VerbatimChar"/>
        </w:rPr>
        <w:t xml:space="preserve">named-csv/batch_1--ctakes-async-20260724T232510Z-3615680/</w:t>
      </w:r>
      <w:r>
        <w:br/>
      </w:r>
      <w:r>
        <w:rPr>
          <w:rStyle w:val="VerbatimChar"/>
        </w:rPr>
        <w:t xml:space="preserve">  batch_1--ctakes-async-20260724T232510Z-3615680--concepts.csv</w:t>
      </w:r>
      <w:r>
        <w:br/>
      </w:r>
      <w:r>
        <w:rPr>
          <w:rStyle w:val="VerbatimChar"/>
        </w:rPr>
        <w:t xml:space="preserve">  batch_1--ctakes-async-20260724T232510Z-3615680--drugs.csv</w:t>
      </w:r>
    </w:p>
    <w:p>
      <w:pPr>
        <w:pStyle w:val="FirstParagraph"/>
      </w:pPr>
      <w:r>
        <w:t>The wrapper takes batch_1 from the selected notes-folder name and adds the source run ID so separate runs cannot collide. Check output records each logical result once as canonical name to file to send. The automatic name has no handoff timestamp, so a retry verifies the same published bytes or rebuilds an interrupted unpublished staging directory instead of creating another timestamped set. A changed published CSV fails closed and is not overwritten.</w:t>
      </w:r>
    </w:p>
    <w:p>
      <w:pPr>
        <w:pStyle w:val="CaptionedFigure"/>
      </w:pPr>
      <w:r>
        <w:drawing>
          <wp:inline>
            <wp:extent cx="5334000" cy="2682688"/>
            <wp:effectExtent b="0" l="0" r="0" t="0"/>
            <wp:docPr descr="Filtered Batch 1 receipt read-back showing the complete status, accepted delivery, and checked artifacts." title="" id="14" name="Picture"/>
            <a:graphic>
              <a:graphicData uri="http://schemas.openxmlformats.org/drawingml/2006/picture">
                <pic:pic>
                  <pic:nvPicPr>
                    <pic:cNvPr descr="assets/batch-1/batch-1-receipts.png" id="15" name="Picture"/>
                    <pic:cNvPicPr>
                      <a:picLocks noChangeArrowheads="1" noChangeAspect="1"/>
                    </pic:cNvPicPr>
                  </pic:nvPicPr>
                  <pic:blipFill>
                    <a:blip r:embed="rId13"/>
                    <a:stretch>
                      <a:fillRect/>
                    </a:stretch>
                  </pic:blipFill>
                  <pic:spPr bwMode="auto">
                    <a:xfrm>
                      <a:off x="0" y="0"/>
                      <a:ext cx="5334000" cy="2682688"/>
                    </a:xfrm>
                    <a:prstGeom prst="rect">
                      <a:avLst/>
                    </a:prstGeom>
                    <a:noFill/>
                    <a:ln w="9525">
                      <a:noFill/>
                      <a:headEnd/>
                      <a:tailEnd/>
                    </a:ln>
                  </pic:spPr>
                </pic:pic>
              </a:graphicData>
            </a:graphic>
          </wp:inline>
        </w:drawing>
      </w:r>
    </w:p>
    <w:p>
      <w:pPr>
        <w:pStyle w:val="ImageCaption"/>
      </w:pPr>
      <w:r>
        <w:t xml:space="preserve">Filtered Batch 1 receipt read-back showing the complete status, accepted delivery, and checked artifacts.</w:t>
      </w:r>
    </w:p>
    <w:p>
      <w:pPr>
        <w:pStyle w:val="BodyText"/>
      </w:pPr>
      <w:r>
        <w:t xml:space="preserve">The sanity report passed the manifest, source-integrity, SQLite, WSD, embedded-source, and batch-CSV checks. WSD remains clinically</w:t>
      </w:r>
      <w:r>
        <w:t xml:space="preserve"> </w:t>
      </w:r>
      <w:r>
        <w:rPr>
          <w:rStyle w:val="VerbatimChar"/>
        </w:rPr>
        <w:t xml:space="preserve">not-evaluated</w:t>
      </w:r>
      <w:r>
        <w:t xml:space="preserve">. The runtime receipt proves that the expected model ran and stayed bound to the 2026AA dictionary; it does not establish clinical accuracy.</w:t>
      </w:r>
    </w:p>
    <w:bookmarkEnd w:id="16"/>
    <w:bookmarkStart w:id="22" w:name="kidney-stone-extraction-readout"/>
    <w:p>
      <w:pPr>
        <w:pStyle w:val="Heading2"/>
      </w:pPr>
      <w:r>
        <w:t xml:space="preserve">Kidney-stone extraction readout</w:t>
      </w:r>
    </w:p>
    <w:p>
      <w:pPr>
        <w:pStyle w:val="FirstParagraph"/>
      </w:pPr>
      <w:r>
        <w:t xml:space="preserve">The NIH project</w:t>
      </w:r>
      <w:r>
        <w:t xml:space="preserve"> </w:t>
      </w:r>
      <w:hyperlink r:id="rId17">
        <w:r>
          <w:rPr>
            <w:rStyle w:val="Hyperlink"/>
          </w:rPr>
          <w:t xml:space="preserve">USDHub: community resource for Urinary Stone Disease research</w:t>
        </w:r>
      </w:hyperlink>
      <w:r>
        <w:t xml:space="preserve">, project</w:t>
      </w:r>
      <w:r>
        <w:t xml:space="preserve"> </w:t>
      </w:r>
      <w:r>
        <w:rPr>
          <w:rStyle w:val="VerbatimChar"/>
        </w:rPr>
        <w:t xml:space="preserve">1RC2DK140865-01</w:t>
      </w:r>
      <w:r>
        <w:t xml:space="preserve">, includes an aim to enrich USDHub with information extracted from CT images and clinical notes using NLP and machine learning. This first readout checks whether the completed cTAKES batch contains the expected urinary-stone signal and related clinical concepts. It is an extraction inventory, not a phenotype validation or prevalence estimate.</w:t>
      </w:r>
    </w:p>
    <w:p>
      <w:pPr>
        <w:pStyle w:val="BodyText"/>
      </w:pPr>
      <w:r>
        <w:t xml:space="preserve">The direct-stone set used four UMLS CUIs:</w:t>
      </w:r>
    </w:p>
    <w:p>
      <w:pPr>
        <w:pStyle w:val="Compact"/>
        <w:numPr>
          <w:ilvl w:val="0"/>
          <w:numId w:val="1001"/>
        </w:numPr>
      </w:pPr>
      <w:r>
        <w:rPr>
          <w:rStyle w:val="VerbatimChar"/>
        </w:rPr>
        <w:t xml:space="preserve">C0022650</w:t>
      </w:r>
      <w:r>
        <w:t xml:space="preserve">, kidney calculi;</w:t>
      </w:r>
    </w:p>
    <w:p>
      <w:pPr>
        <w:pStyle w:val="Compact"/>
        <w:numPr>
          <w:ilvl w:val="0"/>
          <w:numId w:val="1001"/>
        </w:numPr>
      </w:pPr>
      <w:r>
        <w:rPr>
          <w:rStyle w:val="VerbatimChar"/>
        </w:rPr>
        <w:t xml:space="preserve">C0392525</w:t>
      </w:r>
      <w:r>
        <w:t xml:space="preserve">, kidney stone or nephrolithiasis;</w:t>
      </w:r>
    </w:p>
    <w:p>
      <w:pPr>
        <w:pStyle w:val="Compact"/>
        <w:numPr>
          <w:ilvl w:val="0"/>
          <w:numId w:val="1001"/>
        </w:numPr>
      </w:pPr>
      <w:r>
        <w:rPr>
          <w:rStyle w:val="VerbatimChar"/>
        </w:rPr>
        <w:t xml:space="preserve">C0041952</w:t>
      </w:r>
      <w:r>
        <w:t xml:space="preserve">, ureterolithiasis; and</w:t>
      </w:r>
    </w:p>
    <w:p>
      <w:pPr>
        <w:pStyle w:val="Compact"/>
        <w:numPr>
          <w:ilvl w:val="0"/>
          <w:numId w:val="1001"/>
        </w:numPr>
      </w:pPr>
      <w:r>
        <w:rPr>
          <w:rStyle w:val="VerbatimChar"/>
        </w:rPr>
        <w:t xml:space="preserve">C0451641</w:t>
      </w:r>
      <w:r>
        <w:t xml:space="preserve">, urolithiasis.</w:t>
      </w:r>
    </w:p>
    <w:p>
      <w:pPr>
        <w:pStyle w:val="FirstParagraph"/>
      </w:pPr>
      <w:r>
        <w:t xml:space="preserve">NCBI MedGen documents the</w:t>
      </w:r>
      <w:r>
        <w:t xml:space="preserve"> </w:t>
      </w:r>
      <w:hyperlink r:id="rId18">
        <w:r>
          <w:rPr>
            <w:rStyle w:val="Hyperlink"/>
          </w:rPr>
          <w:t xml:space="preserve">kidney-stone</w:t>
        </w:r>
      </w:hyperlink>
      <w:r>
        <w:t xml:space="preserve">,</w:t>
      </w:r>
      <w:r>
        <w:t xml:space="preserve"> </w:t>
      </w:r>
      <w:hyperlink r:id="rId19">
        <w:r>
          <w:rPr>
            <w:rStyle w:val="Hyperlink"/>
          </w:rPr>
          <w:t xml:space="preserve">ureterolithiasis</w:t>
        </w:r>
      </w:hyperlink>
      <w:r>
        <w:t xml:space="preserve">, and</w:t>
      </w:r>
      <w:r>
        <w:t xml:space="preserve"> </w:t>
      </w:r>
      <w:hyperlink r:id="rId20">
        <w:r>
          <w:rPr>
            <w:rStyle w:val="Hyperlink"/>
          </w:rPr>
          <w:t xml:space="preserve">urolithiasis</w:t>
        </w:r>
      </w:hyperlink>
      <w:r>
        <w:t xml:space="preserve"> </w:t>
      </w:r>
      <w:r>
        <w:t xml:space="preserve">concept mappings used for this preliminary set.</w:t>
      </w:r>
    </w:p>
    <w:tbl>
      <w:tblPr>
        <w:tblStyle w:val="Table"/>
        <w:tblW w:type="pct" w:w="5000"/>
        <w:tblLayout w:type="fixed"/>
        <w:tblLook w:firstRow="1" w:lastRow="0" w:firstColumn="0" w:lastColumn="0" w:noHBand="0" w:noVBand="0" w:val="0020"/>
      </w:tblPr>
      <w:tblGrid>
        <w:gridCol w:w="3394"/>
        <w:gridCol w:w="4525"/>
      </w:tblGrid>
      <w:tr>
        <w:trPr>
          <w:tblHeader w:val="on"/>
        </w:trPr>
        <w:tc>
          <w:tcPr/>
          <w:p>
            <w:pPr>
              <w:pStyle w:val="Compact"/>
            </w:pPr>
            <w:r>
              <w:t xml:space="preserve">Direct urinary-stone measure</w:t>
            </w:r>
          </w:p>
        </w:tc>
        <w:tc>
          <w:tcPr/>
          <w:p>
            <w:pPr>
              <w:pStyle w:val="Compact"/>
              <w:jc w:val="right"/>
            </w:pPr>
            <w:r>
              <w:t xml:space="preserve">Count</w:t>
            </w:r>
          </w:p>
        </w:tc>
      </w:tr>
      <w:tr>
        <w:tc>
          <w:tcPr/>
          <w:p>
            <w:pPr>
              <w:pStyle w:val="Compact"/>
            </w:pPr>
            <w:r>
              <w:t xml:space="preserve">Candidate mentions</w:t>
            </w:r>
          </w:p>
        </w:tc>
        <w:tc>
          <w:tcPr/>
          <w:p>
            <w:pPr>
              <w:pStyle w:val="Compact"/>
              <w:jc w:val="right"/>
            </w:pPr>
            <w:r>
              <w:t xml:space="preserve">178,146</w:t>
            </w:r>
          </w:p>
        </w:tc>
      </w:tr>
      <w:tr>
        <w:tc>
          <w:tcPr/>
          <w:p>
            <w:pPr>
              <w:pStyle w:val="Compact"/>
            </w:pPr>
            <w:r>
              <w:t xml:space="preserve">Notes with at least one core CUI</w:t>
            </w:r>
          </w:p>
        </w:tc>
        <w:tc>
          <w:tcPr/>
          <w:p>
            <w:pPr>
              <w:pStyle w:val="Compact"/>
              <w:jc w:val="right"/>
            </w:pPr>
            <w:r>
              <w:t xml:space="preserve">104,728</w:t>
            </w:r>
          </w:p>
        </w:tc>
      </w:tr>
      <w:tr>
        <w:tc>
          <w:tcPr/>
          <w:p>
            <w:pPr>
              <w:pStyle w:val="Compact"/>
            </w:pPr>
            <w:r>
              <w:t xml:space="preserve">Notes with at least one core CUI not marked negated</w:t>
            </w:r>
          </w:p>
        </w:tc>
        <w:tc>
          <w:tcPr/>
          <w:p>
            <w:pPr>
              <w:pStyle w:val="Compact"/>
              <w:jc w:val="right"/>
            </w:pPr>
            <w:r>
              <w:t xml:space="preserve">101,669</w:t>
            </w:r>
          </w:p>
        </w:tc>
      </w:tr>
      <w:tr>
        <w:tc>
          <w:tcPr/>
          <w:p>
            <w:pPr>
              <w:pStyle w:val="Compact"/>
            </w:pPr>
            <w:r>
              <w:t xml:space="preserve">Notes containing only negated core-CUI mentions</w:t>
            </w:r>
          </w:p>
        </w:tc>
        <w:tc>
          <w:tcPr/>
          <w:p>
            <w:pPr>
              <w:pStyle w:val="Compact"/>
              <w:jc w:val="right"/>
            </w:pPr>
            <w:r>
              <w:t xml:space="preserve">3,059</w:t>
            </w:r>
          </w:p>
        </w:tc>
      </w:tr>
      <w:tr>
        <w:tc>
          <w:tcPr/>
          <w:p>
            <w:pPr>
              <w:pStyle w:val="Compact"/>
            </w:pPr>
            <w:r>
              <w:t xml:space="preserve">HubIDs with at least one core CUI</w:t>
            </w:r>
          </w:p>
        </w:tc>
        <w:tc>
          <w:tcPr/>
          <w:p>
            <w:pPr>
              <w:pStyle w:val="Compact"/>
              <w:jc w:val="right"/>
            </w:pPr>
            <w:r>
              <w:t xml:space="preserve">4,548 of 4,996, or 91.0%</w:t>
            </w:r>
          </w:p>
        </w:tc>
      </w:tr>
      <w:tr>
        <w:tc>
          <w:tcPr/>
          <w:p>
            <w:pPr>
              <w:pStyle w:val="Compact"/>
            </w:pPr>
            <w:r>
              <w:t xml:space="preserve">HubIDs with at least one core CUI not marked negated</w:t>
            </w:r>
          </w:p>
        </w:tc>
        <w:tc>
          <w:tcPr/>
          <w:p>
            <w:pPr>
              <w:pStyle w:val="Compact"/>
              <w:jc w:val="right"/>
            </w:pPr>
            <w:r>
              <w:t xml:space="preserve">4,485 of 4,996, or 89.8%</w:t>
            </w:r>
          </w:p>
        </w:tc>
      </w:tr>
    </w:tbl>
    <w:p>
      <w:pPr>
        <w:pStyle w:val="BodyText"/>
      </w:pPr>
      <w:r>
        <w:t xml:space="preserve">The person-level coverage is consistent with a urinary-stone cohort, while only 6.1% of all notes contain one of the four core CUIs. That difference matters because the batch averages 342 notes per HubID. A patient-level history cannot count each note or each repeated answer as a separate event.</w:t>
      </w:r>
    </w:p>
    <w:bookmarkStart w:id="21" w:name="concepts-inside-direct-stone-notes"/>
    <w:p>
      <w:pPr>
        <w:pStyle w:val="Heading3"/>
      </w:pPr>
      <w:r>
        <w:t xml:space="preserve">Concepts inside direct-stone notes</w:t>
      </w:r>
    </w:p>
    <w:p>
      <w:pPr>
        <w:pStyle w:val="FirstParagraph"/>
      </w:pPr>
      <w:r>
        <w:t xml:space="preserve">The table below is restricted to the 104,728 notes containing at least one core urinary-stone CUI.</w:t>
      </w:r>
      <w:r>
        <w:t xml:space="preserve"> </w:t>
      </w:r>
      <w:r>
        <w:rPr>
          <w:rStyle w:val="VerbatimChar"/>
        </w:rPr>
        <w:t xml:space="preserve">Not negated</w:t>
      </w:r>
      <w:r>
        <w:t xml:space="preserve"> </w:t>
      </w:r>
      <w:r>
        <w:t xml:space="preserve">means cTAKES did not assign negative polarity to at least one mention. It includes blank or unassigned polarity and must not be read as a confirmed diagnosis.</w:t>
      </w:r>
    </w:p>
    <w:tbl>
      <w:tblPr>
        <w:tblStyle w:val="Table"/>
        <w:tblW w:type="pct" w:w="5000"/>
        <w:tblLayout w:type="fixed"/>
        <w:tblLook w:firstRow="1" w:lastRow="0" w:firstColumn="0" w:lastColumn="0" w:noHBand="0" w:noVBand="0" w:val="0020"/>
      </w:tblPr>
      <w:tblGrid>
        <w:gridCol w:w="1250"/>
        <w:gridCol w:w="1667"/>
        <w:gridCol w:w="1667"/>
        <w:gridCol w:w="1667"/>
        <w:gridCol w:w="1667"/>
      </w:tblGrid>
      <w:tr>
        <w:trPr>
          <w:tblHeader w:val="on"/>
        </w:trPr>
        <w:tc>
          <w:tcPr/>
          <w:p>
            <w:pPr>
              <w:pStyle w:val="Compact"/>
            </w:pPr>
            <w:r>
              <w:t xml:space="preserve">Related concept</w:t>
            </w:r>
          </w:p>
        </w:tc>
        <w:tc>
          <w:tcPr/>
          <w:p>
            <w:pPr>
              <w:pStyle w:val="Compact"/>
              <w:jc w:val="right"/>
            </w:pPr>
            <w:r>
              <w:t xml:space="preserve">Notes</w:t>
            </w:r>
          </w:p>
        </w:tc>
        <w:tc>
          <w:tcPr/>
          <w:p>
            <w:pPr>
              <w:pStyle w:val="Compact"/>
              <w:jc w:val="right"/>
            </w:pPr>
            <w:r>
              <w:t xml:space="preserve">Notes not marked negated</w:t>
            </w:r>
          </w:p>
        </w:tc>
        <w:tc>
          <w:tcPr/>
          <w:p>
            <w:pPr>
              <w:pStyle w:val="Compact"/>
              <w:jc w:val="right"/>
            </w:pPr>
            <w:r>
              <w:t xml:space="preserve">HubIDs</w:t>
            </w:r>
          </w:p>
        </w:tc>
        <w:tc>
          <w:tcPr/>
          <w:p>
            <w:pPr>
              <w:pStyle w:val="Compact"/>
              <w:jc w:val="right"/>
            </w:pPr>
            <w:r>
              <w:t xml:space="preserve">HubIDs not marked negated</w:t>
            </w:r>
          </w:p>
        </w:tc>
      </w:tr>
      <w:tr>
        <w:tc>
          <w:tcPr/>
          <w:p>
            <w:pPr>
              <w:pStyle w:val="Compact"/>
            </w:pPr>
            <w:r>
              <w:t xml:space="preserve">Hematuria</w:t>
            </w:r>
          </w:p>
        </w:tc>
        <w:tc>
          <w:tcPr/>
          <w:p>
            <w:pPr>
              <w:pStyle w:val="Compact"/>
              <w:jc w:val="right"/>
            </w:pPr>
            <w:r>
              <w:t xml:space="preserve">23,110</w:t>
            </w:r>
          </w:p>
        </w:tc>
        <w:tc>
          <w:tcPr/>
          <w:p>
            <w:pPr>
              <w:pStyle w:val="Compact"/>
              <w:jc w:val="right"/>
            </w:pPr>
            <w:r>
              <w:t xml:space="preserve">17,219</w:t>
            </w:r>
          </w:p>
        </w:tc>
        <w:tc>
          <w:tcPr/>
          <w:p>
            <w:pPr>
              <w:pStyle w:val="Compact"/>
              <w:jc w:val="right"/>
            </w:pPr>
            <w:r>
              <w:t xml:space="preserve">3,081</w:t>
            </w:r>
          </w:p>
        </w:tc>
        <w:tc>
          <w:tcPr/>
          <w:p>
            <w:pPr>
              <w:pStyle w:val="Compact"/>
              <w:jc w:val="right"/>
            </w:pPr>
            <w:r>
              <w:t xml:space="preserve">2,642</w:t>
            </w:r>
          </w:p>
        </w:tc>
      </w:tr>
      <w:tr>
        <w:tc>
          <w:tcPr/>
          <w:p>
            <w:pPr>
              <w:pStyle w:val="Compact"/>
            </w:pPr>
            <w:r>
              <w:t xml:space="preserve">Flank pain</w:t>
            </w:r>
          </w:p>
        </w:tc>
        <w:tc>
          <w:tcPr/>
          <w:p>
            <w:pPr>
              <w:pStyle w:val="Compact"/>
              <w:jc w:val="right"/>
            </w:pPr>
            <w:r>
              <w:t xml:space="preserve">13,801</w:t>
            </w:r>
          </w:p>
        </w:tc>
        <w:tc>
          <w:tcPr/>
          <w:p>
            <w:pPr>
              <w:pStyle w:val="Compact"/>
              <w:jc w:val="right"/>
            </w:pPr>
            <w:r>
              <w:t xml:space="preserve">11,816</w:t>
            </w:r>
          </w:p>
        </w:tc>
        <w:tc>
          <w:tcPr/>
          <w:p>
            <w:pPr>
              <w:pStyle w:val="Compact"/>
              <w:jc w:val="right"/>
            </w:pPr>
            <w:r>
              <w:t xml:space="preserve">2,777</w:t>
            </w:r>
          </w:p>
        </w:tc>
        <w:tc>
          <w:tcPr/>
          <w:p>
            <w:pPr>
              <w:pStyle w:val="Compact"/>
              <w:jc w:val="right"/>
            </w:pPr>
            <w:r>
              <w:t xml:space="preserve">2,592</w:t>
            </w:r>
          </w:p>
        </w:tc>
      </w:tr>
      <w:tr>
        <w:tc>
          <w:tcPr/>
          <w:p>
            <w:pPr>
              <w:pStyle w:val="Compact"/>
            </w:pPr>
            <w:r>
              <w:t xml:space="preserve">Hydronephrosis</w:t>
            </w:r>
          </w:p>
        </w:tc>
        <w:tc>
          <w:tcPr/>
          <w:p>
            <w:pPr>
              <w:pStyle w:val="Compact"/>
              <w:jc w:val="right"/>
            </w:pPr>
            <w:r>
              <w:t xml:space="preserve">17,578</w:t>
            </w:r>
          </w:p>
        </w:tc>
        <w:tc>
          <w:tcPr/>
          <w:p>
            <w:pPr>
              <w:pStyle w:val="Compact"/>
              <w:jc w:val="right"/>
            </w:pPr>
            <w:r>
              <w:t xml:space="preserve">8,747</w:t>
            </w:r>
          </w:p>
        </w:tc>
        <w:tc>
          <w:tcPr/>
          <w:p>
            <w:pPr>
              <w:pStyle w:val="Compact"/>
              <w:jc w:val="right"/>
            </w:pPr>
            <w:r>
              <w:t xml:space="preserve">3,131</w:t>
            </w:r>
          </w:p>
        </w:tc>
        <w:tc>
          <w:tcPr/>
          <w:p>
            <w:pPr>
              <w:pStyle w:val="Compact"/>
              <w:jc w:val="right"/>
            </w:pPr>
            <w:r>
              <w:t xml:space="preserve">1,929</w:t>
            </w:r>
          </w:p>
        </w:tc>
      </w:tr>
      <w:tr>
        <w:tc>
          <w:tcPr/>
          <w:p>
            <w:pPr>
              <w:pStyle w:val="Compact"/>
            </w:pPr>
            <w:r>
              <w:t xml:space="preserve">Nephrocalcinosis</w:t>
            </w:r>
          </w:p>
        </w:tc>
        <w:tc>
          <w:tcPr/>
          <w:p>
            <w:pPr>
              <w:pStyle w:val="Compact"/>
              <w:jc w:val="right"/>
            </w:pPr>
            <w:r>
              <w:t xml:space="preserve">728</w:t>
            </w:r>
          </w:p>
        </w:tc>
        <w:tc>
          <w:tcPr/>
          <w:p>
            <w:pPr>
              <w:pStyle w:val="Compact"/>
              <w:jc w:val="right"/>
            </w:pPr>
            <w:r>
              <w:t xml:space="preserve">725</w:t>
            </w:r>
          </w:p>
        </w:tc>
        <w:tc>
          <w:tcPr/>
          <w:p>
            <w:pPr>
              <w:pStyle w:val="Compact"/>
              <w:jc w:val="right"/>
            </w:pPr>
            <w:r>
              <w:t xml:space="preserve">105</w:t>
            </w:r>
          </w:p>
        </w:tc>
        <w:tc>
          <w:tcPr/>
          <w:p>
            <w:pPr>
              <w:pStyle w:val="Compact"/>
              <w:jc w:val="right"/>
            </w:pPr>
            <w:r>
              <w:t xml:space="preserve">103</w:t>
            </w:r>
          </w:p>
        </w:tc>
      </w:tr>
      <w:tr>
        <w:tc>
          <w:tcPr/>
          <w:p>
            <w:pPr>
              <w:pStyle w:val="Compact"/>
            </w:pPr>
            <w:r>
              <w:t xml:space="preserve">Urinary tract infection</w:t>
            </w:r>
          </w:p>
        </w:tc>
        <w:tc>
          <w:tcPr/>
          <w:p>
            <w:pPr>
              <w:pStyle w:val="Compact"/>
              <w:jc w:val="right"/>
            </w:pPr>
            <w:r>
              <w:t xml:space="preserve">8,307</w:t>
            </w:r>
          </w:p>
        </w:tc>
        <w:tc>
          <w:tcPr/>
          <w:p>
            <w:pPr>
              <w:pStyle w:val="Compact"/>
              <w:jc w:val="right"/>
            </w:pPr>
            <w:r>
              <w:t xml:space="preserve">7,853</w:t>
            </w:r>
          </w:p>
        </w:tc>
        <w:tc>
          <w:tcPr/>
          <w:p>
            <w:pPr>
              <w:pStyle w:val="Compact"/>
              <w:jc w:val="right"/>
            </w:pPr>
            <w:r>
              <w:t xml:space="preserve">1,155</w:t>
            </w:r>
          </w:p>
        </w:tc>
        <w:tc>
          <w:tcPr/>
          <w:p>
            <w:pPr>
              <w:pStyle w:val="Compact"/>
              <w:jc w:val="right"/>
            </w:pPr>
            <w:r>
              <w:t xml:space="preserve">1,100</w:t>
            </w:r>
          </w:p>
        </w:tc>
      </w:tr>
      <w:tr>
        <w:tc>
          <w:tcPr/>
          <w:p>
            <w:pPr>
              <w:pStyle w:val="Compact"/>
            </w:pPr>
            <w:r>
              <w:t xml:space="preserve">Pyelonephritis</w:t>
            </w:r>
          </w:p>
        </w:tc>
        <w:tc>
          <w:tcPr/>
          <w:p>
            <w:pPr>
              <w:pStyle w:val="Compact"/>
              <w:jc w:val="right"/>
            </w:pPr>
            <w:r>
              <w:t xml:space="preserve">3,485</w:t>
            </w:r>
          </w:p>
        </w:tc>
        <w:tc>
          <w:tcPr/>
          <w:p>
            <w:pPr>
              <w:pStyle w:val="Compact"/>
              <w:jc w:val="right"/>
            </w:pPr>
            <w:r>
              <w:t xml:space="preserve">3,347</w:t>
            </w:r>
          </w:p>
        </w:tc>
        <w:tc>
          <w:tcPr/>
          <w:p>
            <w:pPr>
              <w:pStyle w:val="Compact"/>
              <w:jc w:val="right"/>
            </w:pPr>
            <w:r>
              <w:t xml:space="preserve">766</w:t>
            </w:r>
          </w:p>
        </w:tc>
        <w:tc>
          <w:tcPr/>
          <w:p>
            <w:pPr>
              <w:pStyle w:val="Compact"/>
              <w:jc w:val="right"/>
            </w:pPr>
            <w:r>
              <w:t xml:space="preserve">720</w:t>
            </w:r>
          </w:p>
        </w:tc>
      </w:tr>
      <w:tr>
        <w:tc>
          <w:tcPr/>
          <w:p>
            <w:pPr>
              <w:pStyle w:val="Compact"/>
            </w:pPr>
            <w:r>
              <w:t xml:space="preserve">Acute pyelonephritis</w:t>
            </w:r>
          </w:p>
        </w:tc>
        <w:tc>
          <w:tcPr/>
          <w:p>
            <w:pPr>
              <w:pStyle w:val="Compact"/>
              <w:jc w:val="right"/>
            </w:pPr>
            <w:r>
              <w:t xml:space="preserve">271</w:t>
            </w:r>
          </w:p>
        </w:tc>
        <w:tc>
          <w:tcPr/>
          <w:p>
            <w:pPr>
              <w:pStyle w:val="Compact"/>
              <w:jc w:val="right"/>
            </w:pPr>
            <w:r>
              <w:t xml:space="preserve">268</w:t>
            </w:r>
          </w:p>
        </w:tc>
        <w:tc>
          <w:tcPr/>
          <w:p>
            <w:pPr>
              <w:pStyle w:val="Compact"/>
              <w:jc w:val="right"/>
            </w:pPr>
            <w:r>
              <w:t xml:space="preserve">64</w:t>
            </w:r>
          </w:p>
        </w:tc>
        <w:tc>
          <w:tcPr/>
          <w:p>
            <w:pPr>
              <w:pStyle w:val="Compact"/>
              <w:jc w:val="right"/>
            </w:pPr>
            <w:r>
              <w:t xml:space="preserve">62</w:t>
            </w:r>
          </w:p>
        </w:tc>
      </w:tr>
      <w:tr>
        <w:tc>
          <w:tcPr/>
          <w:p>
            <w:pPr>
              <w:pStyle w:val="Compact"/>
            </w:pPr>
            <w:r>
              <w:t xml:space="preserve">Chronic kidney disease</w:t>
            </w:r>
          </w:p>
        </w:tc>
        <w:tc>
          <w:tcPr/>
          <w:p>
            <w:pPr>
              <w:pStyle w:val="Compact"/>
              <w:jc w:val="right"/>
            </w:pPr>
            <w:r>
              <w:t xml:space="preserve">7,194</w:t>
            </w:r>
          </w:p>
        </w:tc>
        <w:tc>
          <w:tcPr/>
          <w:p>
            <w:pPr>
              <w:pStyle w:val="Compact"/>
              <w:jc w:val="right"/>
            </w:pPr>
            <w:r>
              <w:t xml:space="preserve">7,134</w:t>
            </w:r>
          </w:p>
        </w:tc>
        <w:tc>
          <w:tcPr/>
          <w:p>
            <w:pPr>
              <w:pStyle w:val="Compact"/>
              <w:jc w:val="right"/>
            </w:pPr>
            <w:r>
              <w:t xml:space="preserve">514</w:t>
            </w:r>
          </w:p>
        </w:tc>
        <w:tc>
          <w:tcPr/>
          <w:p>
            <w:pPr>
              <w:pStyle w:val="Compact"/>
              <w:jc w:val="right"/>
            </w:pPr>
            <w:r>
              <w:t xml:space="preserve">502</w:t>
            </w:r>
          </w:p>
        </w:tc>
      </w:tr>
      <w:tr>
        <w:tc>
          <w:tcPr/>
          <w:p>
            <w:pPr>
              <w:pStyle w:val="Compact"/>
            </w:pPr>
            <w:r>
              <w:t xml:space="preserve">Hypertension</w:t>
            </w:r>
          </w:p>
        </w:tc>
        <w:tc>
          <w:tcPr/>
          <w:p>
            <w:pPr>
              <w:pStyle w:val="Compact"/>
              <w:jc w:val="right"/>
            </w:pPr>
            <w:r>
              <w:t xml:space="preserve">47,111</w:t>
            </w:r>
          </w:p>
        </w:tc>
        <w:tc>
          <w:tcPr/>
          <w:p>
            <w:pPr>
              <w:pStyle w:val="Compact"/>
              <w:jc w:val="right"/>
            </w:pPr>
            <w:r>
              <w:t xml:space="preserve">46,679</w:t>
            </w:r>
          </w:p>
        </w:tc>
        <w:tc>
          <w:tcPr/>
          <w:p>
            <w:pPr>
              <w:pStyle w:val="Compact"/>
              <w:jc w:val="right"/>
            </w:pPr>
            <w:r>
              <w:t xml:space="preserve">2,717</w:t>
            </w:r>
          </w:p>
        </w:tc>
        <w:tc>
          <w:tcPr/>
          <w:p>
            <w:pPr>
              <w:pStyle w:val="Compact"/>
              <w:jc w:val="right"/>
            </w:pPr>
            <w:r>
              <w:t xml:space="preserve">2,652</w:t>
            </w:r>
          </w:p>
        </w:tc>
      </w:tr>
      <w:tr>
        <w:tc>
          <w:tcPr/>
          <w:p>
            <w:pPr>
              <w:pStyle w:val="Compact"/>
            </w:pPr>
            <w:r>
              <w:t xml:space="preserve">Fracture</w:t>
            </w:r>
          </w:p>
        </w:tc>
        <w:tc>
          <w:tcPr/>
          <w:p>
            <w:pPr>
              <w:pStyle w:val="Compact"/>
              <w:jc w:val="right"/>
            </w:pPr>
            <w:r>
              <w:t xml:space="preserve">12,921</w:t>
            </w:r>
          </w:p>
        </w:tc>
        <w:tc>
          <w:tcPr/>
          <w:p>
            <w:pPr>
              <w:pStyle w:val="Compact"/>
              <w:jc w:val="right"/>
            </w:pPr>
            <w:r>
              <w:t xml:space="preserve">11,852</w:t>
            </w:r>
          </w:p>
        </w:tc>
        <w:tc>
          <w:tcPr/>
          <w:p>
            <w:pPr>
              <w:pStyle w:val="Compact"/>
              <w:jc w:val="right"/>
            </w:pPr>
            <w:r>
              <w:t xml:space="preserve">1,342</w:t>
            </w:r>
          </w:p>
        </w:tc>
        <w:tc>
          <w:tcPr/>
          <w:p>
            <w:pPr>
              <w:pStyle w:val="Compact"/>
              <w:jc w:val="right"/>
            </w:pPr>
            <w:r>
              <w:t xml:space="preserve">1,112</w:t>
            </w:r>
          </w:p>
        </w:tc>
      </w:tr>
    </w:tbl>
    <w:p>
      <w:pPr>
        <w:pStyle w:val="BodyText"/>
      </w:pPr>
      <w:r>
        <w:t xml:space="preserve">The symptom and obstruction signals, including hematuria, flank pain, and hydronephrosis, are visible at useful scale. Infection concepts are also present. Chronic kidney disease, hypertension, and fracture appear in the same stone-note subset, which matches morbidity domains named in the NIH project abstract, but these are co-occurrences. This pass does not prove that the stone caused the other condition, that both concepts refer to the patient, or that they belong to the same episode.</w:t>
      </w:r>
    </w:p>
    <w:p>
      <w:pPr>
        <w:pStyle w:val="BodyText"/>
      </w:pPr>
      <w:r>
        <w:t xml:space="preserve">An exact lookup for acute kidney injury CUI</w:t>
      </w:r>
      <w:r>
        <w:t xml:space="preserve"> </w:t>
      </w:r>
      <w:r>
        <w:rPr>
          <w:rStyle w:val="VerbatimChar"/>
        </w:rPr>
        <w:t xml:space="preserve">C2609414</w:t>
      </w:r>
      <w:r>
        <w:t xml:space="preserve"> </w:t>
      </w:r>
      <w:r>
        <w:t xml:space="preserve">returned zero rows in this narrow code set. That does not establish that acute kidney injury is absent. The next pass needs an expanded CUI and synonym set before that variable can be evaluated.</w:t>
      </w:r>
    </w:p>
    <w:p>
      <w:pPr>
        <w:pStyle w:val="BodyText"/>
      </w:pPr>
      <w:r>
        <w:t xml:space="preserve">The most common raw co-occurring concepts included generic rows such as</w:t>
      </w:r>
      <w:r>
        <w:t xml:space="preserve"> </w:t>
      </w:r>
      <w:r>
        <w:rPr>
          <w:rStyle w:val="VerbatimChar"/>
        </w:rPr>
        <w:t xml:space="preserve">stone</w:t>
      </w:r>
      <w:r>
        <w:t xml:space="preserve">,</w:t>
      </w:r>
      <w:r>
        <w:t xml:space="preserve"> </w:t>
      </w:r>
      <w:r>
        <w:rPr>
          <w:rStyle w:val="VerbatimChar"/>
        </w:rPr>
        <w:t xml:space="preserve">kidney</w:t>
      </w:r>
      <w:r>
        <w:t xml:space="preserve">,</w:t>
      </w:r>
      <w:r>
        <w:t xml:space="preserve"> </w:t>
      </w:r>
      <w:r>
        <w:rPr>
          <w:rStyle w:val="VerbatimChar"/>
        </w:rPr>
        <w:t xml:space="preserve">history</w:t>
      </w:r>
      <w:r>
        <w:t xml:space="preserve">, and</w:t>
      </w:r>
      <w:r>
        <w:t xml:space="preserve"> </w:t>
      </w:r>
      <w:r>
        <w:rPr>
          <w:rStyle w:val="VerbatimChar"/>
        </w:rPr>
        <w:t xml:space="preserve">pain</w:t>
      </w:r>
      <w:r>
        <w:t xml:space="preserve">. This is expected from a candidate-preserving cTAKES output, but it shows why the 142.9 million rows cannot be treated as finished research variables.</w:t>
      </w:r>
    </w:p>
    <w:bookmarkEnd w:id="21"/>
    <w:bookmarkEnd w:id="22"/>
    <w:bookmarkStart w:id="23" w:name="aggregate-method"/>
    <w:p>
      <w:pPr>
        <w:pStyle w:val="Heading2"/>
      </w:pPr>
      <w:r>
        <w:t xml:space="preserve">Aggregate method</w:t>
      </w:r>
    </w:p>
    <w:p>
      <w:pPr>
        <w:pStyle w:val="FirstParagraph"/>
      </w:pPr>
      <w:r>
        <w:t xml:space="preserve">The preliminary analysis opened the accepted SQLite file in immutable read-only mode and selected only aggregate fields from</w:t>
      </w:r>
      <w:r>
        <w:t xml:space="preserve"> </w:t>
      </w:r>
      <w:r>
        <w:rPr>
          <w:rStyle w:val="VerbatimChar"/>
        </w:rPr>
        <w:t xml:space="preserve">run_metadata</w:t>
      </w:r>
      <w:r>
        <w:t xml:space="preserve">,</w:t>
      </w:r>
      <w:r>
        <w:t xml:space="preserve"> </w:t>
      </w:r>
      <w:r>
        <w:rPr>
          <w:rStyle w:val="VerbatimChar"/>
        </w:rPr>
        <w:t xml:space="preserve">documents</w:t>
      </w:r>
      <w:r>
        <w:t xml:space="preserve">,</w:t>
      </w:r>
      <w:r>
        <w:t xml:space="preserve"> </w:t>
      </w:r>
      <w:r>
        <w:rPr>
          <w:rStyle w:val="VerbatimChar"/>
        </w:rPr>
        <w:t xml:space="preserve">cui_counts</w:t>
      </w:r>
      <w:r>
        <w:t xml:space="preserve">, and terminology columns in</w:t>
      </w:r>
      <w:r>
        <w:t xml:space="preserve"> </w:t>
      </w:r>
      <w:r>
        <w:rPr>
          <w:rStyle w:val="VerbatimChar"/>
        </w:rPr>
        <w:t xml:space="preserve">concepts</w:t>
      </w:r>
      <w:r>
        <w:t xml:space="preserve">.</w:t>
      </w:r>
    </w:p>
    <w:p>
      <w:pPr>
        <w:pStyle w:val="Compact"/>
        <w:numPr>
          <w:ilvl w:val="0"/>
          <w:numId w:val="1002"/>
        </w:numPr>
      </w:pPr>
      <w:r>
        <w:t xml:space="preserve">No source note text was selected.</w:t>
      </w:r>
    </w:p>
    <w:p>
      <w:pPr>
        <w:pStyle w:val="Compact"/>
        <w:numPr>
          <w:ilvl w:val="0"/>
          <w:numId w:val="1002"/>
        </w:numPr>
      </w:pPr>
      <w:r>
        <w:t xml:space="preserve">No HubID, NoteID, filename, path, or row-level clinical value was printed or copied into this report.</w:t>
      </w:r>
    </w:p>
    <w:p>
      <w:pPr>
        <w:pStyle w:val="Compact"/>
        <w:numPr>
          <w:ilvl w:val="0"/>
          <w:numId w:val="1002"/>
        </w:numPr>
      </w:pPr>
      <w:r>
        <w:t xml:space="preserve">HubIDs were used only inside</w:t>
      </w:r>
      <w:r>
        <w:t xml:space="preserve"> </w:t>
      </w:r>
      <w:r>
        <w:rPr>
          <w:rStyle w:val="VerbatimChar"/>
        </w:rPr>
        <w:t xml:space="preserve">COUNT(DISTINCT ...)</w:t>
      </w:r>
      <w:r>
        <w:t xml:space="preserve">.</w:t>
      </w:r>
    </w:p>
    <w:p>
      <w:pPr>
        <w:pStyle w:val="Compact"/>
        <w:numPr>
          <w:ilvl w:val="0"/>
          <w:numId w:val="1002"/>
        </w:numPr>
      </w:pPr>
      <w:r>
        <w:t xml:space="preserve">Direct-stone notes were defined by the four listed CUIs.</w:t>
      </w:r>
    </w:p>
    <w:p>
      <w:pPr>
        <w:pStyle w:val="Compact"/>
        <w:numPr>
          <w:ilvl w:val="0"/>
          <w:numId w:val="1002"/>
        </w:numPr>
      </w:pPr>
      <w:r>
        <w:t xml:space="preserve">Related-concept counts were limited to those direct-stone notes.</w:t>
      </w:r>
    </w:p>
    <w:p>
      <w:pPr>
        <w:pStyle w:val="Compact"/>
        <w:numPr>
          <w:ilvl w:val="0"/>
          <w:numId w:val="1002"/>
        </w:numPr>
      </w:pPr>
      <w:r>
        <w:t xml:space="preserve">Counts overlap because one note and one HubID can contain several concepts.</w:t>
      </w:r>
    </w:p>
    <w:p>
      <w:pPr>
        <w:pStyle w:val="Compact"/>
        <w:numPr>
          <w:ilvl w:val="0"/>
          <w:numId w:val="1002"/>
        </w:numPr>
      </w:pPr>
      <w:r>
        <w:t xml:space="preserve">Raw cTAKES concepts remain candidates. Negation, subject, uncertainty, conditionality, temporality, note type, and duplicate longitudinal mentions still require review.</w:t>
      </w:r>
    </w:p>
    <w:bookmarkEnd w:id="23"/>
    <w:bookmarkStart w:id="24" w:name="patient-level-variable-pass"/>
    <w:p>
      <w:pPr>
        <w:pStyle w:val="Heading2"/>
      </w:pPr>
      <w:r>
        <w:t xml:space="preserve">Patient-level variable pass</w:t>
      </w:r>
    </w:p>
    <w:p>
      <w:pPr>
        <w:pStyle w:val="FirstParagraph"/>
      </w:pPr>
      <w:r>
        <w:t xml:space="preserve">The next analysis should turn the candidate rows into reviewable longitudinal variables:</w:t>
      </w:r>
    </w:p>
    <w:p>
      <w:pPr>
        <w:pStyle w:val="Compact"/>
        <w:numPr>
          <w:ilvl w:val="0"/>
          <w:numId w:val="1003"/>
        </w:numPr>
      </w:pPr>
      <w:r>
        <w:t xml:space="preserve">Group notes by HubID and order them by the approved note date.</w:t>
      </w:r>
    </w:p>
    <w:p>
      <w:pPr>
        <w:pStyle w:val="Compact"/>
        <w:numPr>
          <w:ilvl w:val="0"/>
          <w:numId w:val="1003"/>
        </w:numPr>
      </w:pPr>
      <w:r>
        <w:t xml:space="preserve">Separate current, historical, negated, uncertain, conditional, generic, family, and other-subject mentions.</w:t>
      </w:r>
    </w:p>
    <w:p>
      <w:pPr>
        <w:pStyle w:val="Compact"/>
        <w:numPr>
          <w:ilvl w:val="0"/>
          <w:numId w:val="1003"/>
        </w:numPr>
      </w:pPr>
      <w:r>
        <w:t xml:space="preserve">Collapse repeated answers without collapsing separate symptomatic stone events.</w:t>
      </w:r>
    </w:p>
    <w:p>
      <w:pPr>
        <w:pStyle w:val="Compact"/>
        <w:numPr>
          <w:ilvl w:val="0"/>
          <w:numId w:val="1003"/>
        </w:numPr>
      </w:pPr>
      <w:r>
        <w:t xml:space="preserve">Build discrete variables for stone history, recurrence, location and laterality, obstruction, infection, procedures, stone composition, and 24-hour urine findings.</w:t>
      </w:r>
    </w:p>
    <w:p>
      <w:pPr>
        <w:pStyle w:val="Compact"/>
        <w:numPr>
          <w:ilvl w:val="0"/>
          <w:numId w:val="1003"/>
        </w:numPr>
      </w:pPr>
      <w:r>
        <w:t xml:space="preserve">Keep conflicting evidence visible instead of forcing one answer.</w:t>
      </w:r>
    </w:p>
    <w:p>
      <w:pPr>
        <w:pStyle w:val="Compact"/>
        <w:numPr>
          <w:ilvl w:val="0"/>
          <w:numId w:val="1003"/>
        </w:numPr>
      </w:pPr>
      <w:r>
        <w:t xml:space="preserve">Validate each variable on a locked clinician-reviewed sample before cohort use.</w:t>
      </w:r>
    </w:p>
    <w:bookmarkEnd w:id="24"/>
    <w:bookmarkStart w:id="25" w:name="browser-to-shell-and-clickfix-control"/>
    <w:p>
      <w:pPr>
        <w:pStyle w:val="Heading2"/>
      </w:pPr>
      <w:r>
        <w:t xml:space="preserve">Browser-to-shell and ClickFix control</w:t>
      </w:r>
    </w:p>
    <w:p>
      <w:pPr>
        <w:pStyle w:val="FirstParagraph"/>
      </w:pPr>
      <w:r>
        <w:t xml:space="preserve">The current README, install guide, troubleshooting guide, release notes, public TUI walkthrough, and versioned Word MOP use a split trust sequence. The first command clones source without running repository code. A second command uses local Git to require the exact Codeberg remote, expected source reference, and a clean checkout. Setup and</w:t>
      </w:r>
      <w:r>
        <w:t xml:space="preserve"> </w:t>
      </w:r>
      <w:r>
        <w:rPr>
          <w:rStyle w:val="VerbatimChar"/>
        </w:rPr>
        <w:t xml:space="preserve">./ctakes</w:t>
      </w:r>
      <w:r>
        <w:t xml:space="preserve"> </w:t>
      </w:r>
      <w:r>
        <w:t xml:space="preserve">run only in the third step after that check passes.</w:t>
      </w:r>
    </w:p>
    <w:p>
      <w:pPr>
        <w:pStyle w:val="BodyText"/>
      </w:pPr>
      <w:r>
        <w:t xml:space="preserve">The public site has no shell-command Copy button and no JavaScript path that writes any site content to the clipboard. Commands and CSV examples remain visible and manually selectable. Automated site checks fail if clipboard-writing code returns or if the public clone command also runs</w:t>
      </w:r>
      <w:r>
        <w:t xml:space="preserve"> </w:t>
      </w:r>
      <w:r>
        <w:rPr>
          <w:rStyle w:val="VerbatimChar"/>
        </w:rPr>
        <w:t xml:space="preserve">setup.sh</w:t>
      </w:r>
      <w:r>
        <w:t xml:space="preserve"> </w:t>
      </w:r>
      <w:r>
        <w:t xml:space="preserve">or</w:t>
      </w:r>
      <w:r>
        <w:t xml:space="preserve"> </w:t>
      </w:r>
      <w:r>
        <w:rPr>
          <w:rStyle w:val="VerbatimChar"/>
        </w:rPr>
        <w:t xml:space="preserve">./ctakes</w:t>
      </w:r>
      <w:r>
        <w:t xml:space="preserve">.</w:t>
      </w:r>
    </w:p>
    <w:p>
      <w:pPr>
        <w:pStyle w:val="BodyText"/>
      </w:pPr>
      <w:r>
        <w:t xml:space="preserve">This control closes the official site’s browser-to-shell clipboard substitution path and removes the clone-and-immediately-execute chain. It cannot make a compromised source repository, local Git executable, browser, or manually selected unrelated command trustworthy. Those remain separate supply-chain and endpoint controls. The TUI itself does not use a hidden clipboard command for installation, verification, repair, or update.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image" Target="media/rId9.png"/><Relationship Id="rId13" Type="http://schemas.openxmlformats.org/officeDocument/2006/relationships/image" Target="media/rId13.png"/><Relationship Id="rId17" Type="http://schemas.openxmlformats.org/officeDocument/2006/relationships/hyperlink" Target="https://reporter.nih.gov/search/3NOKSEZ6G0O_i8mMzTZL9w/project-details/10977104" TargetMode="External"/><Relationship Id="rId20" Type="http://schemas.openxmlformats.org/officeDocument/2006/relationships/hyperlink" Target="https://www.ncbi.nlm.nih.gov/medgen/141536" TargetMode="External"/><Relationship Id="rId19" Type="http://schemas.openxmlformats.org/officeDocument/2006/relationships/hyperlink" Target="https://www.ncbi.nlm.nih.gov/medgen/21775" TargetMode="External"/><Relationship Id="rId18" Type="http://schemas.openxmlformats.org/officeDocument/2006/relationships/hyperlink" Target="https://www.ncbi.nlm.nih.gov/medgen/98227" TargetMode="External"/></Relationships>
</file>

<file path=word/_rels/footnotes.xml.rels><?xml version='1.0' encoding='UTF-8' standalone='yes'?>
<Relationships xmlns="http://schemas.openxmlformats.org/package/2006/relationships"><Relationship Id="rId17" Type="http://schemas.openxmlformats.org/officeDocument/2006/relationships/hyperlink" Target="https://reporter.nih.gov/search/3NOKSEZ6G0O_i8mMzTZL9w/project-details/10977104" TargetMode="External"/><Relationship Id="rId20" Type="http://schemas.openxmlformats.org/officeDocument/2006/relationships/hyperlink" Target="https://www.ncbi.nlm.nih.gov/medgen/141536" TargetMode="External"/><Relationship Id="rId19" Type="http://schemas.openxmlformats.org/officeDocument/2006/relationships/hyperlink" Target="https://www.ncbi.nlm.nih.gov/medgen/21775" TargetMode="External"/><Relationship Id="rId18" Type="http://schemas.openxmlformats.org/officeDocument/2006/relationships/hyperlink" Target="https://www.ncbi.nlm.nih.gov/medgen/982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cTAKES USDHUB Batch 1 processing report</dc:title>
  <dc:creator>Dr. Layth Qassem, PharmD, MSACI</dc:creator>
  <cp:keywords/>
  <dcterms:created xsi:type="dcterms:W3CDTF">2026-07-25T22:58:57Z</dcterms:created>
  <dcterms:modified xsi:type="dcterms:W3CDTF">2026-07-25T22:58:57Z</dcterms:modified>
  <dc:subject>Accepted 1,708,157-note run, compute plan, outputs, and preliminary urinary-stone readout</dc:subject>
  <cp:lastModifiedBy>Dr. Layth Qassem, PharmD, MSACI</cp:lastModifiedBy>
  <dc:description>Updated with the receipt-bound four-shard plan, CPM2 host context, and the canonical-to-handoff filename explanation.</dc:description>
</cp:coreProperties>
</file>

<file path=docProps/custom.xml><?xml version="1.0" encoding="utf-8"?>
<Properties xmlns="http://schemas.openxmlformats.org/officeDocument/2006/custom-properties" xmlns:vt="http://schemas.openxmlformats.org/officeDocument/2006/docPropsVTypes"/>
</file>