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6812" w14:textId="77777777" w:rsidR="00A17453" w:rsidRPr="00A17453" w:rsidRDefault="00A17453" w:rsidP="00005AD8">
      <w:pPr>
        <w:rPr>
          <w:rFonts w:ascii="Calibri Light" w:eastAsia="Times New Roman" w:hAnsi="Calibri Light" w:cs="Calibri Light"/>
          <w:b/>
          <w:bCs/>
          <w:color w:val="002060"/>
          <w:sz w:val="40"/>
          <w:szCs w:val="40"/>
        </w:rPr>
      </w:pPr>
      <w:r w:rsidRPr="00005AD8">
        <w:rPr>
          <w:rFonts w:ascii="Calibri Light" w:eastAsia="Times New Roman" w:hAnsi="Calibri Light" w:cs="Calibri Light"/>
          <w:b/>
          <w:bCs/>
          <w:color w:val="002060"/>
          <w:sz w:val="40"/>
          <w:szCs w:val="40"/>
        </w:rPr>
        <w:t>STAR MO</w:t>
      </w:r>
      <w:r w:rsidR="00005AD8">
        <w:rPr>
          <w:rFonts w:ascii="Calibri Light" w:eastAsia="Times New Roman" w:hAnsi="Calibri Light" w:cs="Calibri Light"/>
          <w:b/>
          <w:bCs/>
          <w:color w:val="002060"/>
          <w:sz w:val="40"/>
          <w:szCs w:val="40"/>
        </w:rPr>
        <w:t>P</w:t>
      </w:r>
    </w:p>
    <w:p w14:paraId="75A5531A" w14:textId="77777777" w:rsidR="00C44485" w:rsidRPr="00C44485" w:rsidRDefault="00C44485" w:rsidP="00C44485">
      <w:pPr>
        <w:shd w:val="pct10" w:color="auto" w:fill="auto"/>
        <w:spacing w:after="0" w:line="240" w:lineRule="auto"/>
        <w:rPr>
          <w:rFonts w:ascii="Calibri" w:hAnsi="Calibri" w:cs="Calibri"/>
          <w:b/>
          <w:bCs/>
          <w:sz w:val="24"/>
          <w:szCs w:val="24"/>
        </w:rPr>
      </w:pPr>
      <w:r w:rsidRPr="00C44485">
        <w:rPr>
          <w:rFonts w:ascii="Calibri" w:hAnsi="Calibri" w:cs="Calibri"/>
          <w:b/>
          <w:bCs/>
          <w:sz w:val="24"/>
          <w:szCs w:val="24"/>
          <w:u w:val="single"/>
        </w:rPr>
        <w:t>Phase I</w:t>
      </w:r>
      <w:r w:rsidRPr="00C44485">
        <w:rPr>
          <w:rFonts w:ascii="Calibri" w:hAnsi="Calibri" w:cs="Calibri"/>
          <w:b/>
          <w:bCs/>
          <w:sz w:val="24"/>
          <w:szCs w:val="24"/>
        </w:rPr>
        <w:t>: Notes extraction</w:t>
      </w:r>
    </w:p>
    <w:p w14:paraId="6272011B" w14:textId="77777777" w:rsidR="00C44485" w:rsidRDefault="00C44485" w:rsidP="00533BC5">
      <w:pPr>
        <w:spacing w:after="0" w:line="240" w:lineRule="auto"/>
        <w:rPr>
          <w:rFonts w:ascii="Calibri" w:hAnsi="Calibri" w:cs="Calibri"/>
          <w:b/>
          <w:bCs/>
          <w:u w:val="single"/>
        </w:rPr>
      </w:pPr>
    </w:p>
    <w:p w14:paraId="4AA161F8" w14:textId="77777777" w:rsidR="00533BC5" w:rsidRPr="00CE5615" w:rsidRDefault="00533BC5" w:rsidP="00533BC5">
      <w:pPr>
        <w:spacing w:after="0" w:line="240" w:lineRule="auto"/>
        <w:rPr>
          <w:rFonts w:ascii="Calibri" w:hAnsi="Calibri" w:cs="Calibri"/>
          <w:b/>
          <w:bCs/>
        </w:rPr>
      </w:pPr>
      <w:r w:rsidRPr="00CE5615">
        <w:rPr>
          <w:rFonts w:ascii="Calibri" w:hAnsi="Calibri" w:cs="Calibri"/>
          <w:b/>
          <w:bCs/>
          <w:u w:val="single"/>
        </w:rPr>
        <w:t>Step 1</w:t>
      </w:r>
      <w:r w:rsidRPr="00CE5615">
        <w:rPr>
          <w:rFonts w:ascii="Calibri" w:hAnsi="Calibri" w:cs="Calibri"/>
          <w:b/>
          <w:bCs/>
        </w:rPr>
        <w:t>. Kidney stone cohort identification</w:t>
      </w:r>
    </w:p>
    <w:p w14:paraId="2C3835EB" w14:textId="77777777" w:rsidR="00533BC5" w:rsidRDefault="00533BC5" w:rsidP="00533BC5">
      <w:pPr>
        <w:spacing w:after="0" w:line="240" w:lineRule="auto"/>
        <w:rPr>
          <w:rFonts w:ascii="Calibri" w:hAnsi="Calibri" w:cs="Calibri"/>
        </w:rPr>
      </w:pPr>
      <w:r>
        <w:rPr>
          <w:rFonts w:ascii="Calibri" w:hAnsi="Calibri" w:cs="Calibri"/>
        </w:rPr>
        <w:t>The kidney stone cohort has been identified and assigned with USDHub IDs. An example of the USDHub ID format has “USDHUB+20 digits” (An example: USDHUB12345678901234567890). Your site has been provided a mapping between a local patient ID (usually a PCORnet ID or pseudoID) and USDHub IDs.</w:t>
      </w:r>
    </w:p>
    <w:p w14:paraId="03795583" w14:textId="77777777" w:rsidR="00533BC5" w:rsidRDefault="00533BC5" w:rsidP="00533BC5">
      <w:pPr>
        <w:spacing w:after="0" w:line="240" w:lineRule="auto"/>
        <w:rPr>
          <w:rFonts w:ascii="Calibri" w:hAnsi="Calibri" w:cs="Calibri"/>
        </w:rPr>
      </w:pPr>
    </w:p>
    <w:p w14:paraId="60D22D99" w14:textId="77777777" w:rsidR="000D5D45" w:rsidRPr="000D5D45" w:rsidRDefault="000D5D45" w:rsidP="00C44485">
      <w:pPr>
        <w:pStyle w:val="Heading3"/>
      </w:pPr>
    </w:p>
    <w:p w14:paraId="7A2C2A75" w14:textId="77777777" w:rsidR="00533BC5" w:rsidRPr="00CE5615" w:rsidRDefault="00533BC5" w:rsidP="00533BC5">
      <w:pPr>
        <w:spacing w:after="0" w:line="240" w:lineRule="auto"/>
        <w:rPr>
          <w:rFonts w:ascii="Calibri" w:hAnsi="Calibri" w:cs="Calibri"/>
          <w:b/>
          <w:bCs/>
        </w:rPr>
      </w:pPr>
      <w:r w:rsidRPr="00CE5615">
        <w:rPr>
          <w:rFonts w:ascii="Calibri" w:hAnsi="Calibri" w:cs="Calibri"/>
          <w:b/>
          <w:bCs/>
          <w:u w:val="single"/>
        </w:rPr>
        <w:t>Step 2</w:t>
      </w:r>
      <w:r w:rsidRPr="00CE5615">
        <w:rPr>
          <w:rFonts w:ascii="Calibri" w:hAnsi="Calibri" w:cs="Calibri"/>
          <w:b/>
          <w:bCs/>
        </w:rPr>
        <w:t>. Note identification</w:t>
      </w:r>
    </w:p>
    <w:p w14:paraId="0B65CF95" w14:textId="77777777" w:rsidR="00533BC5" w:rsidRPr="00CE5615" w:rsidRDefault="00533BC5" w:rsidP="00533BC5">
      <w:pPr>
        <w:spacing w:after="0" w:line="240" w:lineRule="auto"/>
        <w:rPr>
          <w:rFonts w:ascii="Calibri" w:hAnsi="Calibri" w:cs="Calibri"/>
          <w:color w:val="000000"/>
        </w:rPr>
      </w:pPr>
      <w:r>
        <w:rPr>
          <w:rFonts w:ascii="Calibri" w:hAnsi="Calibri" w:cs="Calibri"/>
          <w:color w:val="000000"/>
        </w:rPr>
        <w:t>F</w:t>
      </w:r>
      <w:r w:rsidRPr="00CE5615">
        <w:rPr>
          <w:rFonts w:ascii="Calibri" w:hAnsi="Calibri" w:cs="Calibri"/>
          <w:color w:val="000000"/>
        </w:rPr>
        <w:t>or each patient</w:t>
      </w:r>
      <w:r>
        <w:rPr>
          <w:rFonts w:ascii="Calibri" w:hAnsi="Calibri" w:cs="Calibri"/>
          <w:color w:val="000000"/>
        </w:rPr>
        <w:t xml:space="preserve"> in the USDHub cohort</w:t>
      </w:r>
      <w:r w:rsidRPr="00CE5615">
        <w:rPr>
          <w:rFonts w:ascii="Calibri" w:hAnsi="Calibri" w:cs="Calibri"/>
          <w:color w:val="000000"/>
        </w:rPr>
        <w:t xml:space="preserve">, </w:t>
      </w:r>
      <w:r>
        <w:rPr>
          <w:rFonts w:ascii="Calibri" w:hAnsi="Calibri" w:cs="Calibri"/>
          <w:color w:val="000000"/>
        </w:rPr>
        <w:t>your</w:t>
      </w:r>
      <w:r w:rsidRPr="00CE5615">
        <w:rPr>
          <w:rFonts w:ascii="Calibri" w:hAnsi="Calibri" w:cs="Calibri"/>
          <w:color w:val="000000"/>
        </w:rPr>
        <w:t xml:space="preserve"> site should extract </w:t>
      </w:r>
      <w:r>
        <w:rPr>
          <w:rFonts w:ascii="Calibri" w:hAnsi="Calibri" w:cs="Calibri"/>
          <w:color w:val="000000"/>
        </w:rPr>
        <w:t xml:space="preserve">all </w:t>
      </w:r>
      <w:r w:rsidRPr="00CE5615">
        <w:rPr>
          <w:rFonts w:ascii="Calibri" w:hAnsi="Calibri" w:cs="Calibri"/>
          <w:color w:val="000000"/>
        </w:rPr>
        <w:t xml:space="preserve">associated clinical notes corresponding to one of the six note types: </w:t>
      </w:r>
    </w:p>
    <w:p w14:paraId="5BD92B05"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Admission note</w:t>
      </w:r>
    </w:p>
    <w:p w14:paraId="355438E2"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Discharge summary</w:t>
      </w:r>
    </w:p>
    <w:p w14:paraId="7B16F650"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Inpatient note</w:t>
      </w:r>
    </w:p>
    <w:p w14:paraId="3AF44E74"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Outpatient note</w:t>
      </w:r>
    </w:p>
    <w:p w14:paraId="4972877D"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Radiology report</w:t>
      </w:r>
    </w:p>
    <w:p w14:paraId="49C4ADF6" w14:textId="77777777" w:rsidR="00533BC5" w:rsidRPr="00CE5615" w:rsidRDefault="00533BC5" w:rsidP="00533BC5">
      <w:pPr>
        <w:pStyle w:val="ListParagraph"/>
        <w:numPr>
          <w:ilvl w:val="0"/>
          <w:numId w:val="3"/>
        </w:numPr>
        <w:spacing w:after="0" w:line="240" w:lineRule="auto"/>
        <w:jc w:val="left"/>
        <w:rPr>
          <w:rFonts w:ascii="Calibri" w:hAnsi="Calibri" w:cs="Calibri"/>
          <w:color w:val="000000"/>
        </w:rPr>
      </w:pPr>
      <w:r w:rsidRPr="00CE5615">
        <w:rPr>
          <w:rFonts w:ascii="Calibri" w:hAnsi="Calibri" w:cs="Calibri"/>
          <w:color w:val="000000"/>
        </w:rPr>
        <w:t>Emergency department note</w:t>
      </w:r>
    </w:p>
    <w:p w14:paraId="19529142" w14:textId="77777777" w:rsidR="00533BC5" w:rsidRDefault="00533BC5" w:rsidP="00533BC5">
      <w:pPr>
        <w:spacing w:after="0" w:line="240" w:lineRule="auto"/>
        <w:rPr>
          <w:rFonts w:ascii="Calibri" w:hAnsi="Calibri" w:cs="Calibri"/>
          <w:color w:val="000000"/>
        </w:rPr>
      </w:pPr>
    </w:p>
    <w:p w14:paraId="0F9B511E" w14:textId="77777777" w:rsidR="00533BC5" w:rsidRPr="00CE5615" w:rsidRDefault="00533BC5" w:rsidP="00533BC5">
      <w:pPr>
        <w:spacing w:after="0" w:line="240" w:lineRule="auto"/>
        <w:rPr>
          <w:rFonts w:ascii="Calibri" w:hAnsi="Calibri" w:cs="Calibri"/>
          <w:color w:val="000000"/>
        </w:rPr>
      </w:pPr>
      <w:r>
        <w:rPr>
          <w:rFonts w:ascii="Calibri" w:hAnsi="Calibri" w:cs="Calibri"/>
          <w:color w:val="000000"/>
        </w:rPr>
        <w:t>Notes:</w:t>
      </w:r>
    </w:p>
    <w:p w14:paraId="5483B1F5" w14:textId="77777777" w:rsidR="00533BC5" w:rsidRPr="001C63E3" w:rsidRDefault="00533BC5" w:rsidP="00533BC5">
      <w:pPr>
        <w:pStyle w:val="ListParagraph"/>
        <w:numPr>
          <w:ilvl w:val="0"/>
          <w:numId w:val="1"/>
        </w:numPr>
        <w:spacing w:after="160" w:line="278" w:lineRule="auto"/>
        <w:jc w:val="left"/>
        <w:rPr>
          <w:rFonts w:ascii="Calibri" w:eastAsia="Times New Roman" w:hAnsi="Calibri" w:cs="Calibri"/>
          <w:color w:val="212121"/>
        </w:rPr>
      </w:pPr>
      <w:r w:rsidRPr="001C63E3">
        <w:rPr>
          <w:rFonts w:ascii="Calibri" w:hAnsi="Calibri" w:cs="Calibri"/>
          <w:color w:val="000000"/>
        </w:rPr>
        <w:t xml:space="preserve">If </w:t>
      </w:r>
      <w:r>
        <w:rPr>
          <w:rFonts w:ascii="Calibri" w:hAnsi="Calibri" w:cs="Calibri"/>
          <w:color w:val="000000"/>
        </w:rPr>
        <w:t>your</w:t>
      </w:r>
      <w:r w:rsidRPr="001C63E3">
        <w:rPr>
          <w:rFonts w:ascii="Calibri" w:hAnsi="Calibri" w:cs="Calibri"/>
          <w:color w:val="000000"/>
        </w:rPr>
        <w:t xml:space="preserve"> EHR system follows the OMOP Common Data Model (CDM) format, the note types should be identified using the </w:t>
      </w:r>
      <w:r w:rsidRPr="001C63E3">
        <w:rPr>
          <w:rFonts w:ascii="Calibri" w:eastAsia="Times New Roman" w:hAnsi="Calibri" w:cs="Calibri"/>
          <w:b/>
          <w:bCs/>
          <w:color w:val="000000"/>
        </w:rPr>
        <w:t xml:space="preserve">note_type_concept_id </w:t>
      </w:r>
      <w:r w:rsidRPr="001C63E3">
        <w:rPr>
          <w:rFonts w:ascii="Calibri" w:eastAsia="Times New Roman" w:hAnsi="Calibri" w:cs="Calibri"/>
          <w:color w:val="000000"/>
        </w:rPr>
        <w:t>field. The concept ID values for each of the 6 note types are listed below.</w:t>
      </w:r>
    </w:p>
    <w:tbl>
      <w:tblPr>
        <w:tblW w:w="5409" w:type="dxa"/>
        <w:tblInd w:w="607" w:type="dxa"/>
        <w:tblLook w:val="04A0" w:firstRow="1" w:lastRow="0" w:firstColumn="1" w:lastColumn="0" w:noHBand="0" w:noVBand="1"/>
      </w:tblPr>
      <w:tblGrid>
        <w:gridCol w:w="2509"/>
        <w:gridCol w:w="2900"/>
      </w:tblGrid>
      <w:tr w:rsidR="00533BC5" w:rsidRPr="00CE5615" w14:paraId="5F500AC2" w14:textId="77777777" w:rsidTr="0042414E">
        <w:trPr>
          <w:trHeight w:hRule="exact" w:val="230"/>
        </w:trPr>
        <w:tc>
          <w:tcPr>
            <w:tcW w:w="2509" w:type="dxa"/>
            <w:tcBorders>
              <w:top w:val="single" w:sz="4" w:space="0" w:color="auto"/>
              <w:left w:val="single" w:sz="4" w:space="0" w:color="auto"/>
              <w:bottom w:val="single" w:sz="4" w:space="0" w:color="auto"/>
              <w:right w:val="single" w:sz="4" w:space="0" w:color="auto"/>
            </w:tcBorders>
            <w:noWrap/>
            <w:vAlign w:val="bottom"/>
            <w:hideMark/>
          </w:tcPr>
          <w:p w14:paraId="5B4ED779" w14:textId="77777777" w:rsidR="00533BC5" w:rsidRPr="00CE5615" w:rsidRDefault="00533BC5" w:rsidP="0042414E">
            <w:pPr>
              <w:spacing w:after="0" w:line="240" w:lineRule="auto"/>
              <w:jc w:val="center"/>
              <w:rPr>
                <w:rFonts w:ascii="Calibri" w:eastAsia="Times New Roman" w:hAnsi="Calibri" w:cs="Calibri"/>
                <w:b/>
                <w:bCs/>
                <w:color w:val="000000"/>
              </w:rPr>
            </w:pPr>
            <w:r w:rsidRPr="00CE5615">
              <w:rPr>
                <w:rFonts w:ascii="Calibri" w:eastAsia="Times New Roman" w:hAnsi="Calibri" w:cs="Calibri"/>
                <w:b/>
                <w:bCs/>
                <w:color w:val="000000"/>
              </w:rPr>
              <w:t>note_type_concept_id</w:t>
            </w:r>
          </w:p>
        </w:tc>
        <w:tc>
          <w:tcPr>
            <w:tcW w:w="2900" w:type="dxa"/>
            <w:tcBorders>
              <w:top w:val="single" w:sz="4" w:space="0" w:color="auto"/>
              <w:left w:val="nil"/>
              <w:bottom w:val="single" w:sz="4" w:space="0" w:color="auto"/>
              <w:right w:val="single" w:sz="4" w:space="0" w:color="auto"/>
            </w:tcBorders>
            <w:noWrap/>
            <w:vAlign w:val="bottom"/>
            <w:hideMark/>
          </w:tcPr>
          <w:p w14:paraId="7AAD2421" w14:textId="77777777" w:rsidR="00533BC5" w:rsidRPr="00CE5615" w:rsidRDefault="00533BC5" w:rsidP="0042414E">
            <w:pPr>
              <w:spacing w:after="0" w:line="240" w:lineRule="auto"/>
              <w:rPr>
                <w:rFonts w:ascii="Calibri" w:eastAsia="Times New Roman" w:hAnsi="Calibri" w:cs="Calibri"/>
                <w:b/>
                <w:bCs/>
                <w:color w:val="000000"/>
              </w:rPr>
            </w:pPr>
            <w:r w:rsidRPr="00CE5615">
              <w:rPr>
                <w:rFonts w:ascii="Calibri" w:eastAsia="Times New Roman" w:hAnsi="Calibri" w:cs="Calibri"/>
                <w:b/>
                <w:bCs/>
                <w:color w:val="000000"/>
              </w:rPr>
              <w:t>note_type_concept_name</w:t>
            </w:r>
          </w:p>
        </w:tc>
      </w:tr>
      <w:tr w:rsidR="00533BC5" w:rsidRPr="00CE5615" w14:paraId="6725BEED"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1CB9AF96"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44814637</w:t>
            </w:r>
          </w:p>
        </w:tc>
        <w:tc>
          <w:tcPr>
            <w:tcW w:w="2900" w:type="dxa"/>
            <w:tcBorders>
              <w:top w:val="nil"/>
              <w:left w:val="nil"/>
              <w:bottom w:val="single" w:sz="4" w:space="0" w:color="auto"/>
              <w:right w:val="single" w:sz="4" w:space="0" w:color="auto"/>
            </w:tcBorders>
            <w:noWrap/>
            <w:vAlign w:val="bottom"/>
            <w:hideMark/>
          </w:tcPr>
          <w:p w14:paraId="1A91D1AE"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Discharge summary</w:t>
            </w:r>
          </w:p>
        </w:tc>
      </w:tr>
      <w:tr w:rsidR="00533BC5" w:rsidRPr="00CE5615" w14:paraId="17123C75"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2E1A6536"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44814638</w:t>
            </w:r>
          </w:p>
        </w:tc>
        <w:tc>
          <w:tcPr>
            <w:tcW w:w="2900" w:type="dxa"/>
            <w:tcBorders>
              <w:top w:val="nil"/>
              <w:left w:val="nil"/>
              <w:bottom w:val="single" w:sz="4" w:space="0" w:color="auto"/>
              <w:right w:val="single" w:sz="4" w:space="0" w:color="auto"/>
            </w:tcBorders>
            <w:noWrap/>
            <w:vAlign w:val="bottom"/>
            <w:hideMark/>
          </w:tcPr>
          <w:p w14:paraId="45A99DA9"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Admission note</w:t>
            </w:r>
          </w:p>
        </w:tc>
      </w:tr>
      <w:tr w:rsidR="00533BC5" w:rsidRPr="00CE5615" w14:paraId="19192B9B"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31A602BC"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44814639</w:t>
            </w:r>
          </w:p>
        </w:tc>
        <w:tc>
          <w:tcPr>
            <w:tcW w:w="2900" w:type="dxa"/>
            <w:tcBorders>
              <w:top w:val="nil"/>
              <w:left w:val="nil"/>
              <w:bottom w:val="single" w:sz="4" w:space="0" w:color="auto"/>
              <w:right w:val="single" w:sz="4" w:space="0" w:color="auto"/>
            </w:tcBorders>
            <w:noWrap/>
            <w:vAlign w:val="bottom"/>
            <w:hideMark/>
          </w:tcPr>
          <w:p w14:paraId="48C3C2E8"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Inpatient note</w:t>
            </w:r>
          </w:p>
        </w:tc>
      </w:tr>
      <w:tr w:rsidR="00533BC5" w:rsidRPr="00CE5615" w14:paraId="1D916101"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75AA8D4E"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44814640</w:t>
            </w:r>
          </w:p>
        </w:tc>
        <w:tc>
          <w:tcPr>
            <w:tcW w:w="2900" w:type="dxa"/>
            <w:tcBorders>
              <w:top w:val="nil"/>
              <w:left w:val="nil"/>
              <w:bottom w:val="single" w:sz="4" w:space="0" w:color="auto"/>
              <w:right w:val="single" w:sz="4" w:space="0" w:color="auto"/>
            </w:tcBorders>
            <w:noWrap/>
            <w:vAlign w:val="bottom"/>
            <w:hideMark/>
          </w:tcPr>
          <w:p w14:paraId="2AFBEBCA"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Outpatient note</w:t>
            </w:r>
          </w:p>
        </w:tc>
      </w:tr>
      <w:tr w:rsidR="00533BC5" w:rsidRPr="00CE5615" w14:paraId="435A0BB6"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6D4314D0"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44814641</w:t>
            </w:r>
          </w:p>
        </w:tc>
        <w:tc>
          <w:tcPr>
            <w:tcW w:w="2900" w:type="dxa"/>
            <w:tcBorders>
              <w:top w:val="nil"/>
              <w:left w:val="nil"/>
              <w:bottom w:val="single" w:sz="4" w:space="0" w:color="auto"/>
              <w:right w:val="single" w:sz="4" w:space="0" w:color="auto"/>
            </w:tcBorders>
            <w:noWrap/>
            <w:vAlign w:val="bottom"/>
            <w:hideMark/>
          </w:tcPr>
          <w:p w14:paraId="41826B45"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Radiology report</w:t>
            </w:r>
          </w:p>
        </w:tc>
      </w:tr>
      <w:tr w:rsidR="00533BC5" w:rsidRPr="00CE5615" w14:paraId="46E33FDA" w14:textId="77777777" w:rsidTr="0042414E">
        <w:trPr>
          <w:trHeight w:hRule="exact" w:val="230"/>
        </w:trPr>
        <w:tc>
          <w:tcPr>
            <w:tcW w:w="2509" w:type="dxa"/>
            <w:tcBorders>
              <w:top w:val="nil"/>
              <w:left w:val="single" w:sz="4" w:space="0" w:color="auto"/>
              <w:bottom w:val="single" w:sz="4" w:space="0" w:color="auto"/>
              <w:right w:val="single" w:sz="4" w:space="0" w:color="auto"/>
            </w:tcBorders>
            <w:noWrap/>
            <w:vAlign w:val="bottom"/>
            <w:hideMark/>
          </w:tcPr>
          <w:p w14:paraId="70801031" w14:textId="77777777" w:rsidR="00533BC5" w:rsidRPr="00CE5615" w:rsidRDefault="00533BC5" w:rsidP="0042414E">
            <w:pPr>
              <w:spacing w:after="0" w:line="240" w:lineRule="auto"/>
              <w:jc w:val="center"/>
              <w:rPr>
                <w:rFonts w:ascii="Calibri" w:eastAsia="Times New Roman" w:hAnsi="Calibri" w:cs="Calibri"/>
                <w:color w:val="000000"/>
              </w:rPr>
            </w:pPr>
            <w:r w:rsidRPr="00CE5615">
              <w:rPr>
                <w:rFonts w:ascii="Calibri" w:eastAsia="Times New Roman" w:hAnsi="Calibri" w:cs="Calibri"/>
                <w:color w:val="000000"/>
              </w:rPr>
              <w:t>44814646</w:t>
            </w:r>
          </w:p>
        </w:tc>
        <w:tc>
          <w:tcPr>
            <w:tcW w:w="2900" w:type="dxa"/>
            <w:tcBorders>
              <w:top w:val="nil"/>
              <w:left w:val="nil"/>
              <w:bottom w:val="single" w:sz="4" w:space="0" w:color="auto"/>
              <w:right w:val="single" w:sz="4" w:space="0" w:color="auto"/>
            </w:tcBorders>
            <w:noWrap/>
            <w:vAlign w:val="bottom"/>
            <w:hideMark/>
          </w:tcPr>
          <w:p w14:paraId="7BFA2826" w14:textId="77777777" w:rsidR="00533BC5" w:rsidRPr="00CE5615" w:rsidRDefault="00533BC5" w:rsidP="0042414E">
            <w:pPr>
              <w:spacing w:after="0" w:line="240" w:lineRule="auto"/>
              <w:rPr>
                <w:rFonts w:ascii="Calibri" w:eastAsia="Times New Roman" w:hAnsi="Calibri" w:cs="Calibri"/>
                <w:color w:val="000000"/>
              </w:rPr>
            </w:pPr>
            <w:r w:rsidRPr="00CE5615">
              <w:rPr>
                <w:rFonts w:ascii="Calibri" w:eastAsia="Times New Roman" w:hAnsi="Calibri" w:cs="Calibri"/>
                <w:color w:val="000000"/>
              </w:rPr>
              <w:t>Emergency department note</w:t>
            </w:r>
          </w:p>
        </w:tc>
      </w:tr>
    </w:tbl>
    <w:p w14:paraId="17156664" w14:textId="77777777" w:rsidR="00676198" w:rsidRPr="00676198" w:rsidRDefault="00676198" w:rsidP="00C44485">
      <w:pPr>
        <w:pStyle w:val="Heading3"/>
      </w:pPr>
    </w:p>
    <w:p w14:paraId="2B05B5CA" w14:textId="77777777" w:rsidR="00533BC5" w:rsidRPr="001C63E3" w:rsidRDefault="00533BC5" w:rsidP="00533BC5">
      <w:pPr>
        <w:pStyle w:val="ListParagraph"/>
        <w:numPr>
          <w:ilvl w:val="0"/>
          <w:numId w:val="1"/>
        </w:numPr>
        <w:spacing w:after="0" w:line="240" w:lineRule="auto"/>
        <w:jc w:val="left"/>
        <w:rPr>
          <w:rFonts w:ascii="Calibri" w:hAnsi="Calibri" w:cs="Calibri"/>
          <w:color w:val="000000"/>
        </w:rPr>
      </w:pPr>
      <w:r w:rsidRPr="001C63E3">
        <w:rPr>
          <w:rFonts w:ascii="Calibri" w:hAnsi="Calibri" w:cs="Calibri"/>
          <w:color w:val="000000"/>
        </w:rPr>
        <w:t xml:space="preserve">If </w:t>
      </w:r>
      <w:r>
        <w:rPr>
          <w:rFonts w:ascii="Calibri" w:hAnsi="Calibri" w:cs="Calibri"/>
          <w:color w:val="000000"/>
        </w:rPr>
        <w:t>your</w:t>
      </w:r>
      <w:r w:rsidRPr="001C63E3">
        <w:rPr>
          <w:rFonts w:ascii="Calibri" w:hAnsi="Calibri" w:cs="Calibri"/>
          <w:color w:val="000000"/>
        </w:rPr>
        <w:t xml:space="preserve"> EHR system does not follow the OMOP CDM structure, it is recommend</w:t>
      </w:r>
      <w:r>
        <w:rPr>
          <w:rFonts w:ascii="Calibri" w:hAnsi="Calibri" w:cs="Calibri"/>
          <w:color w:val="000000"/>
        </w:rPr>
        <w:t>ed</w:t>
      </w:r>
      <w:r w:rsidRPr="001C63E3">
        <w:rPr>
          <w:rFonts w:ascii="Calibri" w:hAnsi="Calibri" w:cs="Calibri"/>
          <w:color w:val="000000"/>
        </w:rPr>
        <w:t xml:space="preserve"> to extract all available notes for cTAKES processing to reduce the risk of omitting clinically relevant note types (e.g., operative or radiology reports). Alternatively, a site-specific note-type classifier may be used, provided it demonstrates high classification accuracy.</w:t>
      </w:r>
    </w:p>
    <w:p w14:paraId="151BC759" w14:textId="77777777" w:rsidR="00533BC5" w:rsidRDefault="00533BC5" w:rsidP="00533BC5">
      <w:pPr>
        <w:spacing w:after="0" w:line="240" w:lineRule="auto"/>
        <w:rPr>
          <w:rFonts w:ascii="Calibri" w:hAnsi="Calibri" w:cs="Calibri"/>
          <w:color w:val="000000"/>
        </w:rPr>
      </w:pPr>
    </w:p>
    <w:p w14:paraId="65BB6750" w14:textId="77777777" w:rsidR="00533BC5" w:rsidRDefault="00533BC5" w:rsidP="00533BC5">
      <w:pPr>
        <w:spacing w:after="0" w:line="240" w:lineRule="auto"/>
        <w:rPr>
          <w:rFonts w:ascii="Calibri" w:hAnsi="Calibri" w:cs="Calibri"/>
          <w:color w:val="000000"/>
        </w:rPr>
      </w:pPr>
      <w:r>
        <w:rPr>
          <w:rFonts w:ascii="Calibri" w:hAnsi="Calibri" w:cs="Calibri"/>
          <w:color w:val="000000"/>
        </w:rPr>
        <w:t>OMOP CDM links:</w:t>
      </w:r>
    </w:p>
    <w:p w14:paraId="61775AED" w14:textId="77777777" w:rsidR="00533BC5" w:rsidRPr="001C63E3" w:rsidRDefault="00533BC5" w:rsidP="00533BC5">
      <w:pPr>
        <w:pStyle w:val="ListParagraph"/>
        <w:numPr>
          <w:ilvl w:val="0"/>
          <w:numId w:val="5"/>
        </w:numPr>
        <w:spacing w:after="0" w:line="240" w:lineRule="auto"/>
        <w:jc w:val="left"/>
        <w:rPr>
          <w:rFonts w:ascii="Calibri" w:hAnsi="Calibri" w:cs="Calibri"/>
          <w:color w:val="000000"/>
        </w:rPr>
      </w:pPr>
      <w:r w:rsidRPr="001C63E3">
        <w:rPr>
          <w:rFonts w:ascii="Calibri" w:hAnsi="Calibri" w:cs="Calibri"/>
          <w:color w:val="000000"/>
        </w:rPr>
        <w:t xml:space="preserve">high overview of OMOP CDM (see figure below with the organization of the tables): </w:t>
      </w:r>
      <w:hyperlink r:id="rId7" w:history="1">
        <w:r w:rsidRPr="001C63E3">
          <w:rPr>
            <w:rStyle w:val="Hyperlink"/>
            <w:rFonts w:ascii="Calibri" w:hAnsi="Calibri" w:cs="Calibri"/>
          </w:rPr>
          <w:t>https://ohdsi.github.io/CommonDataModel/index.html</w:t>
        </w:r>
      </w:hyperlink>
      <w:r w:rsidRPr="001C63E3">
        <w:rPr>
          <w:rFonts w:ascii="Calibri" w:hAnsi="Calibri" w:cs="Calibri"/>
          <w:color w:val="000000"/>
        </w:rPr>
        <w:t xml:space="preserve"> </w:t>
      </w:r>
    </w:p>
    <w:p w14:paraId="3AE82165" w14:textId="77777777" w:rsidR="00533BC5" w:rsidRPr="001C63E3" w:rsidRDefault="00533BC5" w:rsidP="00533BC5">
      <w:pPr>
        <w:pStyle w:val="ListParagraph"/>
        <w:numPr>
          <w:ilvl w:val="0"/>
          <w:numId w:val="5"/>
        </w:numPr>
        <w:spacing w:after="0" w:line="240" w:lineRule="auto"/>
        <w:jc w:val="left"/>
        <w:rPr>
          <w:rFonts w:ascii="Calibri" w:hAnsi="Calibri" w:cs="Calibri"/>
          <w:color w:val="000000"/>
        </w:rPr>
      </w:pPr>
      <w:r w:rsidRPr="001C63E3">
        <w:rPr>
          <w:rFonts w:ascii="Calibri" w:hAnsi="Calibri" w:cs="Calibri"/>
          <w:color w:val="000000"/>
        </w:rPr>
        <w:t xml:space="preserve">standardized note types in the CDM Concept table: </w:t>
      </w:r>
      <w:hyperlink r:id="rId8" w:history="1">
        <w:r w:rsidRPr="001C63E3">
          <w:rPr>
            <w:rStyle w:val="Hyperlink"/>
            <w:rFonts w:ascii="Calibri" w:hAnsi="Calibri" w:cs="Calibri"/>
          </w:rPr>
          <w:t>https://athena.ohdsi.org/search-terms/terms?conceptClass=Note+Type</w:t>
        </w:r>
      </w:hyperlink>
      <w:r w:rsidRPr="001C63E3">
        <w:rPr>
          <w:rFonts w:ascii="Calibri" w:hAnsi="Calibri" w:cs="Calibri"/>
          <w:color w:val="000000"/>
        </w:rPr>
        <w:t xml:space="preserve"> </w:t>
      </w:r>
    </w:p>
    <w:p w14:paraId="7655FDB9" w14:textId="77777777" w:rsidR="00533BC5" w:rsidRPr="001C63E3" w:rsidRDefault="00533BC5" w:rsidP="00533BC5">
      <w:pPr>
        <w:pStyle w:val="ListParagraph"/>
        <w:numPr>
          <w:ilvl w:val="0"/>
          <w:numId w:val="5"/>
        </w:numPr>
        <w:spacing w:after="0" w:line="240" w:lineRule="auto"/>
        <w:jc w:val="left"/>
        <w:rPr>
          <w:rFonts w:ascii="Calibri" w:hAnsi="Calibri" w:cs="Calibri"/>
          <w:color w:val="000000"/>
        </w:rPr>
      </w:pPr>
      <w:r w:rsidRPr="001C63E3">
        <w:rPr>
          <w:rFonts w:ascii="Calibri" w:hAnsi="Calibri" w:cs="Calibri"/>
          <w:color w:val="000000"/>
        </w:rPr>
        <w:t xml:space="preserve">latest version of CDM: </w:t>
      </w:r>
      <w:hyperlink r:id="rId9" w:history="1">
        <w:r w:rsidRPr="001C63E3">
          <w:rPr>
            <w:rStyle w:val="Hyperlink"/>
            <w:rFonts w:ascii="Calibri" w:hAnsi="Calibri" w:cs="Calibri"/>
          </w:rPr>
          <w:t>https://ohdsi.github.io/CommonDataModel/cdm54.html</w:t>
        </w:r>
      </w:hyperlink>
      <w:r w:rsidRPr="001C63E3">
        <w:rPr>
          <w:rFonts w:ascii="Calibri" w:hAnsi="Calibri" w:cs="Calibri"/>
          <w:color w:val="000000"/>
        </w:rPr>
        <w:t xml:space="preserve"> </w:t>
      </w:r>
    </w:p>
    <w:p w14:paraId="5BF3A0D6" w14:textId="77777777" w:rsidR="00533BC5" w:rsidRPr="001C63E3" w:rsidRDefault="00533BC5" w:rsidP="00533BC5">
      <w:pPr>
        <w:pStyle w:val="ListParagraph"/>
        <w:numPr>
          <w:ilvl w:val="0"/>
          <w:numId w:val="5"/>
        </w:numPr>
        <w:spacing w:after="0" w:line="240" w:lineRule="auto"/>
        <w:jc w:val="left"/>
        <w:rPr>
          <w:rFonts w:ascii="Calibri" w:hAnsi="Calibri" w:cs="Calibri"/>
          <w:color w:val="000000"/>
        </w:rPr>
      </w:pPr>
      <w:r w:rsidRPr="001C63E3">
        <w:rPr>
          <w:rFonts w:ascii="Calibri" w:hAnsi="Calibri" w:cs="Calibri"/>
          <w:color w:val="000000"/>
        </w:rPr>
        <w:t xml:space="preserve">latest version of Notes table in CDM: </w:t>
      </w:r>
      <w:hyperlink r:id="rId10" w:anchor="note" w:history="1">
        <w:r w:rsidRPr="001C63E3">
          <w:rPr>
            <w:rStyle w:val="Hyperlink"/>
            <w:rFonts w:ascii="Calibri" w:hAnsi="Calibri" w:cs="Calibri"/>
          </w:rPr>
          <w:t>https://ohdsi.github.io/CommonDataModel/cdm54.html#note</w:t>
        </w:r>
      </w:hyperlink>
      <w:r w:rsidRPr="001C63E3">
        <w:rPr>
          <w:rFonts w:ascii="Calibri" w:hAnsi="Calibri" w:cs="Calibri"/>
          <w:color w:val="000000"/>
        </w:rPr>
        <w:t xml:space="preserve"> </w:t>
      </w:r>
    </w:p>
    <w:p w14:paraId="2C6E0AAF" w14:textId="77777777" w:rsidR="00533BC5" w:rsidRDefault="00533BC5" w:rsidP="00533BC5">
      <w:pPr>
        <w:spacing w:after="0" w:line="240" w:lineRule="auto"/>
        <w:rPr>
          <w:rFonts w:ascii="Calibri" w:hAnsi="Calibri" w:cs="Calibri"/>
          <w:color w:val="000000"/>
        </w:rPr>
      </w:pPr>
    </w:p>
    <w:p w14:paraId="149CA65B" w14:textId="77777777" w:rsidR="009E7B4A" w:rsidRDefault="009E7B4A" w:rsidP="00C44485">
      <w:pPr>
        <w:pStyle w:val="Heading3"/>
      </w:pPr>
    </w:p>
    <w:p w14:paraId="58A6AF2C" w14:textId="77777777" w:rsidR="009E7B4A" w:rsidRDefault="009E7B4A" w:rsidP="009E7B4A"/>
    <w:p w14:paraId="0D9B1B15" w14:textId="77777777" w:rsidR="009E7B4A" w:rsidRPr="009E7B4A" w:rsidRDefault="009E7B4A" w:rsidP="00C44485">
      <w:pPr>
        <w:pStyle w:val="Heading3"/>
      </w:pPr>
    </w:p>
    <w:p w14:paraId="126A9DEB" w14:textId="77777777" w:rsidR="00A17453" w:rsidRPr="00CE5615" w:rsidRDefault="00A17453" w:rsidP="00A17453">
      <w:pPr>
        <w:spacing w:after="0" w:line="240" w:lineRule="auto"/>
        <w:rPr>
          <w:rFonts w:ascii="Calibri" w:hAnsi="Calibri" w:cs="Calibri"/>
          <w:b/>
          <w:bCs/>
        </w:rPr>
      </w:pPr>
      <w:r w:rsidRPr="00C173FF">
        <w:rPr>
          <w:rFonts w:ascii="Calibri" w:hAnsi="Calibri" w:cs="Calibri"/>
          <w:b/>
          <w:bCs/>
          <w:u w:val="single"/>
        </w:rPr>
        <w:lastRenderedPageBreak/>
        <w:t xml:space="preserve">Step </w:t>
      </w:r>
      <w:r w:rsidR="00800F54">
        <w:rPr>
          <w:rFonts w:ascii="Calibri" w:hAnsi="Calibri" w:cs="Calibri"/>
          <w:b/>
          <w:bCs/>
          <w:u w:val="single"/>
        </w:rPr>
        <w:t>3</w:t>
      </w:r>
      <w:r w:rsidRPr="00CE5615">
        <w:rPr>
          <w:rFonts w:ascii="Calibri" w:hAnsi="Calibri" w:cs="Calibri"/>
          <w:b/>
          <w:bCs/>
        </w:rPr>
        <w:t xml:space="preserve">. </w:t>
      </w:r>
      <w:r w:rsidRPr="00C173FF">
        <w:rPr>
          <w:rFonts w:ascii="Calibri" w:hAnsi="Calibri" w:cs="Calibri"/>
          <w:b/>
          <w:bCs/>
        </w:rPr>
        <w:t xml:space="preserve">Clinical </w:t>
      </w:r>
      <w:r>
        <w:rPr>
          <w:rFonts w:ascii="Calibri" w:hAnsi="Calibri" w:cs="Calibri"/>
          <w:b/>
          <w:bCs/>
        </w:rPr>
        <w:t>n</w:t>
      </w:r>
      <w:r w:rsidRPr="00C173FF">
        <w:rPr>
          <w:rFonts w:ascii="Calibri" w:hAnsi="Calibri" w:cs="Calibri"/>
          <w:b/>
          <w:bCs/>
        </w:rPr>
        <w:t xml:space="preserve">ote </w:t>
      </w:r>
      <w:r>
        <w:rPr>
          <w:rFonts w:ascii="Calibri" w:hAnsi="Calibri" w:cs="Calibri"/>
          <w:b/>
          <w:bCs/>
        </w:rPr>
        <w:t>d</w:t>
      </w:r>
      <w:r w:rsidRPr="00C173FF">
        <w:rPr>
          <w:rFonts w:ascii="Calibri" w:hAnsi="Calibri" w:cs="Calibri"/>
          <w:b/>
          <w:bCs/>
        </w:rPr>
        <w:t xml:space="preserve">ata </w:t>
      </w:r>
      <w:r>
        <w:rPr>
          <w:rFonts w:ascii="Calibri" w:hAnsi="Calibri" w:cs="Calibri"/>
          <w:b/>
          <w:bCs/>
        </w:rPr>
        <w:t>e</w:t>
      </w:r>
      <w:r w:rsidRPr="00C173FF">
        <w:rPr>
          <w:rFonts w:ascii="Calibri" w:hAnsi="Calibri" w:cs="Calibri"/>
          <w:b/>
          <w:bCs/>
        </w:rPr>
        <w:t xml:space="preserve">lements for </w:t>
      </w:r>
      <w:r>
        <w:rPr>
          <w:rFonts w:ascii="Calibri" w:hAnsi="Calibri" w:cs="Calibri"/>
          <w:b/>
          <w:bCs/>
        </w:rPr>
        <w:t>e</w:t>
      </w:r>
      <w:r w:rsidRPr="00C173FF">
        <w:rPr>
          <w:rFonts w:ascii="Calibri" w:hAnsi="Calibri" w:cs="Calibri"/>
          <w:b/>
          <w:bCs/>
        </w:rPr>
        <w:t>xtraction</w:t>
      </w:r>
    </w:p>
    <w:p w14:paraId="1F38F712" w14:textId="77777777" w:rsidR="00A17453" w:rsidRDefault="00A17453" w:rsidP="00A17453">
      <w:pPr>
        <w:spacing w:after="0" w:line="240" w:lineRule="auto"/>
        <w:rPr>
          <w:rFonts w:ascii="Calibri" w:hAnsi="Calibri" w:cs="Calibri"/>
          <w:color w:val="000000"/>
        </w:rPr>
      </w:pPr>
      <w:r w:rsidRPr="00CE5615">
        <w:rPr>
          <w:rFonts w:ascii="Calibri" w:hAnsi="Calibri" w:cs="Calibri"/>
          <w:color w:val="000000"/>
        </w:rPr>
        <w:t xml:space="preserve">For each identified note, the following </w:t>
      </w:r>
      <w:r>
        <w:rPr>
          <w:rFonts w:ascii="Calibri" w:hAnsi="Calibri" w:cs="Calibri"/>
          <w:color w:val="000000"/>
        </w:rPr>
        <w:t>data elements</w:t>
      </w:r>
      <w:r w:rsidRPr="00CE5615">
        <w:rPr>
          <w:rFonts w:ascii="Calibri" w:hAnsi="Calibri" w:cs="Calibri"/>
          <w:color w:val="000000"/>
        </w:rPr>
        <w:t xml:space="preserve"> should be extracted into a local file system:</w:t>
      </w:r>
    </w:p>
    <w:p w14:paraId="676B37F1" w14:textId="77777777" w:rsidR="00A17453" w:rsidRDefault="00A17453" w:rsidP="00A17453">
      <w:pPr>
        <w:spacing w:after="0" w:line="240" w:lineRule="auto"/>
        <w:rPr>
          <w:rFonts w:ascii="Calibri" w:hAnsi="Calibri" w:cs="Calibri"/>
          <w:color w:val="000000"/>
        </w:rPr>
      </w:pPr>
    </w:p>
    <w:tbl>
      <w:tblPr>
        <w:tblW w:w="8740" w:type="dxa"/>
        <w:tblLook w:val="04A0" w:firstRow="1" w:lastRow="0" w:firstColumn="1" w:lastColumn="0" w:noHBand="0" w:noVBand="1"/>
      </w:tblPr>
      <w:tblGrid>
        <w:gridCol w:w="2000"/>
        <w:gridCol w:w="2620"/>
        <w:gridCol w:w="2620"/>
        <w:gridCol w:w="1500"/>
      </w:tblGrid>
      <w:tr w:rsidR="000D5D45" w:rsidRPr="00C200CF" w14:paraId="46BC6F14" w14:textId="77777777" w:rsidTr="000D5D45">
        <w:trPr>
          <w:trHeight w:hRule="exact" w:val="23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74E008E" w14:textId="77777777" w:rsidR="000D5D45" w:rsidRPr="00C200CF" w:rsidRDefault="000D5D45" w:rsidP="000D5D45">
            <w:pPr>
              <w:spacing w:after="0" w:line="240" w:lineRule="auto"/>
              <w:rPr>
                <w:rFonts w:ascii="Calibri" w:eastAsia="Times New Roman" w:hAnsi="Calibri" w:cs="Calibri"/>
                <w:b/>
                <w:bCs/>
                <w:color w:val="000000"/>
              </w:rPr>
            </w:pPr>
            <w:r w:rsidRPr="00C200CF">
              <w:rPr>
                <w:rFonts w:ascii="Calibri" w:eastAsia="Times New Roman" w:hAnsi="Calibri" w:cs="Calibri"/>
                <w:b/>
                <w:bCs/>
                <w:color w:val="000000"/>
              </w:rPr>
              <w:t>Data element</w:t>
            </w:r>
          </w:p>
        </w:tc>
        <w:tc>
          <w:tcPr>
            <w:tcW w:w="2620" w:type="dxa"/>
            <w:tcBorders>
              <w:top w:val="single" w:sz="4" w:space="0" w:color="auto"/>
              <w:left w:val="nil"/>
              <w:bottom w:val="single" w:sz="4" w:space="0" w:color="auto"/>
              <w:right w:val="nil"/>
            </w:tcBorders>
            <w:vAlign w:val="bottom"/>
          </w:tcPr>
          <w:p w14:paraId="2677FF8F" w14:textId="77777777" w:rsidR="000D5D45" w:rsidRPr="00C200CF" w:rsidRDefault="000D5D45" w:rsidP="000D5D45">
            <w:pPr>
              <w:spacing w:after="0" w:line="240" w:lineRule="auto"/>
              <w:rPr>
                <w:rFonts w:ascii="Calibri" w:eastAsia="Times New Roman" w:hAnsi="Calibri" w:cs="Calibri"/>
                <w:b/>
                <w:bCs/>
                <w:color w:val="000000"/>
              </w:rPr>
            </w:pPr>
            <w:r w:rsidRPr="00C200CF">
              <w:rPr>
                <w:rFonts w:ascii="Calibri" w:eastAsia="Times New Roman" w:hAnsi="Calibri" w:cs="Calibri"/>
                <w:b/>
                <w:bCs/>
                <w:color w:val="000000"/>
              </w:rPr>
              <w:t>CDM field</w:t>
            </w:r>
          </w:p>
        </w:tc>
        <w:tc>
          <w:tcPr>
            <w:tcW w:w="2620" w:type="dxa"/>
            <w:tcBorders>
              <w:top w:val="single" w:sz="4" w:space="0" w:color="auto"/>
              <w:left w:val="single" w:sz="4" w:space="0" w:color="auto"/>
              <w:bottom w:val="single" w:sz="4" w:space="0" w:color="auto"/>
              <w:right w:val="single" w:sz="4" w:space="0" w:color="auto"/>
            </w:tcBorders>
            <w:noWrap/>
            <w:vAlign w:val="bottom"/>
            <w:hideMark/>
          </w:tcPr>
          <w:p w14:paraId="6493DEB9" w14:textId="77777777" w:rsidR="000D5D45" w:rsidRPr="00C200CF" w:rsidRDefault="000D5D45" w:rsidP="000D5D45">
            <w:pPr>
              <w:spacing w:after="0" w:line="240" w:lineRule="auto"/>
              <w:rPr>
                <w:rFonts w:ascii="Calibri" w:eastAsia="Times New Roman" w:hAnsi="Calibri" w:cs="Calibri"/>
                <w:b/>
                <w:bCs/>
                <w:color w:val="000000"/>
              </w:rPr>
            </w:pPr>
            <w:r>
              <w:rPr>
                <w:rFonts w:ascii="Calibri" w:eastAsia="Times New Roman" w:hAnsi="Calibri" w:cs="Calibri"/>
                <w:b/>
                <w:bCs/>
                <w:color w:val="000000"/>
              </w:rPr>
              <w:t>PCORnet</w:t>
            </w:r>
            <w:r w:rsidRPr="00C200CF">
              <w:rPr>
                <w:rFonts w:ascii="Calibri" w:eastAsia="Times New Roman" w:hAnsi="Calibri" w:cs="Calibri"/>
                <w:b/>
                <w:bCs/>
                <w:color w:val="000000"/>
              </w:rPr>
              <w:t xml:space="preserve"> field</w:t>
            </w:r>
          </w:p>
        </w:tc>
        <w:tc>
          <w:tcPr>
            <w:tcW w:w="1500" w:type="dxa"/>
            <w:tcBorders>
              <w:top w:val="single" w:sz="4" w:space="0" w:color="auto"/>
              <w:left w:val="nil"/>
              <w:bottom w:val="single" w:sz="4" w:space="0" w:color="auto"/>
              <w:right w:val="single" w:sz="4" w:space="0" w:color="auto"/>
            </w:tcBorders>
            <w:noWrap/>
            <w:vAlign w:val="bottom"/>
            <w:hideMark/>
          </w:tcPr>
          <w:p w14:paraId="17D44DE1" w14:textId="77777777" w:rsidR="000D5D45" w:rsidRPr="00C200CF" w:rsidRDefault="000D5D45" w:rsidP="000D5D45">
            <w:pPr>
              <w:spacing w:after="0" w:line="240" w:lineRule="auto"/>
              <w:rPr>
                <w:rFonts w:ascii="Calibri" w:eastAsia="Times New Roman" w:hAnsi="Calibri" w:cs="Calibri"/>
                <w:b/>
                <w:bCs/>
                <w:color w:val="000000"/>
              </w:rPr>
            </w:pPr>
            <w:r w:rsidRPr="00C200CF">
              <w:rPr>
                <w:rFonts w:ascii="Calibri" w:eastAsia="Times New Roman" w:hAnsi="Calibri" w:cs="Calibri"/>
                <w:b/>
                <w:bCs/>
                <w:color w:val="000000"/>
              </w:rPr>
              <w:t>Requirements</w:t>
            </w:r>
          </w:p>
        </w:tc>
      </w:tr>
      <w:tr w:rsidR="000D5D45" w:rsidRPr="00C200CF" w14:paraId="49AB055B"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45FE30E6"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Patient ID</w:t>
            </w:r>
          </w:p>
        </w:tc>
        <w:tc>
          <w:tcPr>
            <w:tcW w:w="2620" w:type="dxa"/>
            <w:tcBorders>
              <w:top w:val="single" w:sz="4" w:space="0" w:color="auto"/>
              <w:left w:val="nil"/>
              <w:bottom w:val="single" w:sz="4" w:space="0" w:color="auto"/>
              <w:right w:val="nil"/>
            </w:tcBorders>
            <w:vAlign w:val="bottom"/>
          </w:tcPr>
          <w:p w14:paraId="43A6D134" w14:textId="77777777" w:rsidR="000D5D45"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person_id</w:t>
            </w:r>
          </w:p>
        </w:tc>
        <w:tc>
          <w:tcPr>
            <w:tcW w:w="2620" w:type="dxa"/>
            <w:tcBorders>
              <w:top w:val="nil"/>
              <w:left w:val="single" w:sz="4" w:space="0" w:color="auto"/>
              <w:bottom w:val="single" w:sz="4" w:space="0" w:color="auto"/>
              <w:right w:val="single" w:sz="4" w:space="0" w:color="auto"/>
            </w:tcBorders>
            <w:noWrap/>
            <w:vAlign w:val="bottom"/>
            <w:hideMark/>
          </w:tcPr>
          <w:p w14:paraId="71B49613" w14:textId="77777777" w:rsidR="000D5D45" w:rsidRPr="00C200CF" w:rsidRDefault="000D5D45" w:rsidP="000D5D45">
            <w:pPr>
              <w:spacing w:after="0" w:line="240" w:lineRule="auto"/>
              <w:rPr>
                <w:rFonts w:ascii="Calibri" w:eastAsia="Times New Roman" w:hAnsi="Calibri" w:cs="Calibri"/>
                <w:color w:val="333333"/>
              </w:rPr>
            </w:pPr>
            <w:r>
              <w:rPr>
                <w:rFonts w:ascii="Calibri" w:eastAsia="Times New Roman" w:hAnsi="Calibri" w:cs="Calibri"/>
                <w:color w:val="333333"/>
              </w:rPr>
              <w:t>patid</w:t>
            </w:r>
          </w:p>
        </w:tc>
        <w:tc>
          <w:tcPr>
            <w:tcW w:w="1500" w:type="dxa"/>
            <w:tcBorders>
              <w:top w:val="nil"/>
              <w:left w:val="nil"/>
              <w:bottom w:val="single" w:sz="4" w:space="0" w:color="auto"/>
              <w:right w:val="single" w:sz="4" w:space="0" w:color="auto"/>
            </w:tcBorders>
            <w:noWrap/>
            <w:vAlign w:val="bottom"/>
            <w:hideMark/>
          </w:tcPr>
          <w:p w14:paraId="37EE3D1B"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not null</w:t>
            </w:r>
          </w:p>
        </w:tc>
      </w:tr>
      <w:tr w:rsidR="000D5D45" w:rsidRPr="00C200CF" w14:paraId="38C60449"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40F95803"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Note ID</w:t>
            </w:r>
          </w:p>
        </w:tc>
        <w:tc>
          <w:tcPr>
            <w:tcW w:w="2620" w:type="dxa"/>
            <w:tcBorders>
              <w:top w:val="single" w:sz="4" w:space="0" w:color="auto"/>
              <w:left w:val="nil"/>
              <w:bottom w:val="single" w:sz="4" w:space="0" w:color="auto"/>
              <w:right w:val="nil"/>
            </w:tcBorders>
            <w:vAlign w:val="bottom"/>
          </w:tcPr>
          <w:p w14:paraId="38B250C5"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note_id</w:t>
            </w:r>
          </w:p>
        </w:tc>
        <w:tc>
          <w:tcPr>
            <w:tcW w:w="2620" w:type="dxa"/>
            <w:tcBorders>
              <w:top w:val="nil"/>
              <w:left w:val="single" w:sz="4" w:space="0" w:color="auto"/>
              <w:bottom w:val="single" w:sz="4" w:space="0" w:color="auto"/>
              <w:right w:val="single" w:sz="4" w:space="0" w:color="auto"/>
            </w:tcBorders>
            <w:noWrap/>
            <w:vAlign w:val="bottom"/>
            <w:hideMark/>
          </w:tcPr>
          <w:p w14:paraId="2BD15BB3"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note_id</w:t>
            </w:r>
          </w:p>
        </w:tc>
        <w:tc>
          <w:tcPr>
            <w:tcW w:w="1500" w:type="dxa"/>
            <w:tcBorders>
              <w:top w:val="nil"/>
              <w:left w:val="nil"/>
              <w:bottom w:val="single" w:sz="4" w:space="0" w:color="auto"/>
              <w:right w:val="single" w:sz="4" w:space="0" w:color="auto"/>
            </w:tcBorders>
            <w:noWrap/>
            <w:vAlign w:val="bottom"/>
            <w:hideMark/>
          </w:tcPr>
          <w:p w14:paraId="19B7BC78"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not null</w:t>
            </w:r>
          </w:p>
        </w:tc>
      </w:tr>
      <w:tr w:rsidR="000D5D45" w:rsidRPr="00C200CF" w14:paraId="5264C24F"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1F9F434E"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Note date</w:t>
            </w:r>
          </w:p>
        </w:tc>
        <w:tc>
          <w:tcPr>
            <w:tcW w:w="2620" w:type="dxa"/>
            <w:tcBorders>
              <w:top w:val="single" w:sz="4" w:space="0" w:color="auto"/>
              <w:left w:val="nil"/>
              <w:bottom w:val="single" w:sz="4" w:space="0" w:color="auto"/>
              <w:right w:val="nil"/>
            </w:tcBorders>
            <w:vAlign w:val="bottom"/>
          </w:tcPr>
          <w:p w14:paraId="3BE5D88F"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note_date</w:t>
            </w:r>
          </w:p>
        </w:tc>
        <w:tc>
          <w:tcPr>
            <w:tcW w:w="2620" w:type="dxa"/>
            <w:tcBorders>
              <w:top w:val="nil"/>
              <w:left w:val="single" w:sz="4" w:space="0" w:color="auto"/>
              <w:bottom w:val="single" w:sz="4" w:space="0" w:color="auto"/>
              <w:right w:val="single" w:sz="4" w:space="0" w:color="auto"/>
            </w:tcBorders>
            <w:noWrap/>
            <w:vAlign w:val="bottom"/>
            <w:hideMark/>
          </w:tcPr>
          <w:p w14:paraId="7BB1BBE3"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note_date</w:t>
            </w:r>
          </w:p>
        </w:tc>
        <w:tc>
          <w:tcPr>
            <w:tcW w:w="1500" w:type="dxa"/>
            <w:tcBorders>
              <w:top w:val="nil"/>
              <w:left w:val="nil"/>
              <w:bottom w:val="single" w:sz="4" w:space="0" w:color="auto"/>
              <w:right w:val="single" w:sz="4" w:space="0" w:color="auto"/>
            </w:tcBorders>
            <w:noWrap/>
            <w:vAlign w:val="bottom"/>
            <w:hideMark/>
          </w:tcPr>
          <w:p w14:paraId="6C8200C7"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 </w:t>
            </w:r>
          </w:p>
        </w:tc>
      </w:tr>
      <w:tr w:rsidR="000D5D45" w:rsidRPr="00C200CF" w14:paraId="4D822FCF"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7E7F3FD0"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Note type</w:t>
            </w:r>
          </w:p>
        </w:tc>
        <w:tc>
          <w:tcPr>
            <w:tcW w:w="2620" w:type="dxa"/>
            <w:tcBorders>
              <w:top w:val="single" w:sz="4" w:space="0" w:color="auto"/>
              <w:left w:val="nil"/>
              <w:bottom w:val="single" w:sz="4" w:space="0" w:color="auto"/>
              <w:right w:val="nil"/>
            </w:tcBorders>
            <w:vAlign w:val="bottom"/>
          </w:tcPr>
          <w:p w14:paraId="72C01D13"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note_type_concept_id</w:t>
            </w:r>
          </w:p>
        </w:tc>
        <w:tc>
          <w:tcPr>
            <w:tcW w:w="2620" w:type="dxa"/>
            <w:tcBorders>
              <w:top w:val="nil"/>
              <w:left w:val="single" w:sz="4" w:space="0" w:color="auto"/>
              <w:bottom w:val="single" w:sz="4" w:space="0" w:color="auto"/>
              <w:right w:val="single" w:sz="4" w:space="0" w:color="auto"/>
            </w:tcBorders>
            <w:noWrap/>
            <w:vAlign w:val="bottom"/>
            <w:hideMark/>
          </w:tcPr>
          <w:p w14:paraId="4F284E53"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note_type</w:t>
            </w:r>
          </w:p>
        </w:tc>
        <w:tc>
          <w:tcPr>
            <w:tcW w:w="1500" w:type="dxa"/>
            <w:tcBorders>
              <w:top w:val="nil"/>
              <w:left w:val="nil"/>
              <w:bottom w:val="single" w:sz="4" w:space="0" w:color="auto"/>
              <w:right w:val="single" w:sz="4" w:space="0" w:color="auto"/>
            </w:tcBorders>
            <w:noWrap/>
            <w:vAlign w:val="bottom"/>
            <w:hideMark/>
          </w:tcPr>
          <w:p w14:paraId="585199B2"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 </w:t>
            </w:r>
          </w:p>
        </w:tc>
      </w:tr>
      <w:tr w:rsidR="000D5D45" w:rsidRPr="00C200CF" w14:paraId="41F0FB13"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1670F27E"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Note title</w:t>
            </w:r>
          </w:p>
        </w:tc>
        <w:tc>
          <w:tcPr>
            <w:tcW w:w="2620" w:type="dxa"/>
            <w:tcBorders>
              <w:top w:val="single" w:sz="4" w:space="0" w:color="auto"/>
              <w:left w:val="nil"/>
              <w:bottom w:val="single" w:sz="4" w:space="0" w:color="auto"/>
              <w:right w:val="nil"/>
            </w:tcBorders>
            <w:vAlign w:val="bottom"/>
          </w:tcPr>
          <w:p w14:paraId="06137A88"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note_title</w:t>
            </w:r>
          </w:p>
        </w:tc>
        <w:tc>
          <w:tcPr>
            <w:tcW w:w="2620" w:type="dxa"/>
            <w:tcBorders>
              <w:top w:val="nil"/>
              <w:left w:val="single" w:sz="4" w:space="0" w:color="auto"/>
              <w:bottom w:val="single" w:sz="4" w:space="0" w:color="auto"/>
              <w:right w:val="single" w:sz="4" w:space="0" w:color="auto"/>
            </w:tcBorders>
            <w:noWrap/>
            <w:vAlign w:val="bottom"/>
            <w:hideMark/>
          </w:tcPr>
          <w:p w14:paraId="34507412"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note_title</w:t>
            </w:r>
          </w:p>
        </w:tc>
        <w:tc>
          <w:tcPr>
            <w:tcW w:w="1500" w:type="dxa"/>
            <w:tcBorders>
              <w:top w:val="nil"/>
              <w:left w:val="nil"/>
              <w:bottom w:val="single" w:sz="4" w:space="0" w:color="auto"/>
              <w:right w:val="single" w:sz="4" w:space="0" w:color="auto"/>
            </w:tcBorders>
            <w:noWrap/>
            <w:vAlign w:val="bottom"/>
            <w:hideMark/>
          </w:tcPr>
          <w:p w14:paraId="0D81A704"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 </w:t>
            </w:r>
          </w:p>
        </w:tc>
      </w:tr>
      <w:tr w:rsidR="000D5D45" w:rsidRPr="00C200CF" w14:paraId="320F3E7D"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54DCF1B3"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Visit occurrence ID</w:t>
            </w:r>
          </w:p>
        </w:tc>
        <w:tc>
          <w:tcPr>
            <w:tcW w:w="2620" w:type="dxa"/>
            <w:tcBorders>
              <w:top w:val="single" w:sz="4" w:space="0" w:color="auto"/>
              <w:left w:val="nil"/>
              <w:bottom w:val="single" w:sz="4" w:space="0" w:color="auto"/>
              <w:right w:val="nil"/>
            </w:tcBorders>
            <w:vAlign w:val="bottom"/>
          </w:tcPr>
          <w:p w14:paraId="3B314C26" w14:textId="77777777" w:rsidR="000D5D45"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visit_occurrence_id</w:t>
            </w:r>
          </w:p>
        </w:tc>
        <w:tc>
          <w:tcPr>
            <w:tcW w:w="2620" w:type="dxa"/>
            <w:tcBorders>
              <w:top w:val="nil"/>
              <w:left w:val="single" w:sz="4" w:space="0" w:color="auto"/>
              <w:bottom w:val="single" w:sz="4" w:space="0" w:color="auto"/>
              <w:right w:val="single" w:sz="4" w:space="0" w:color="auto"/>
            </w:tcBorders>
            <w:noWrap/>
            <w:vAlign w:val="bottom"/>
            <w:hideMark/>
          </w:tcPr>
          <w:p w14:paraId="6D432BC3" w14:textId="77777777" w:rsidR="000D5D45" w:rsidRPr="00C200CF" w:rsidRDefault="000D5D45" w:rsidP="000D5D45">
            <w:pPr>
              <w:spacing w:after="0" w:line="240" w:lineRule="auto"/>
              <w:rPr>
                <w:rFonts w:ascii="Calibri" w:eastAsia="Times New Roman" w:hAnsi="Calibri" w:cs="Calibri"/>
                <w:color w:val="333333"/>
              </w:rPr>
            </w:pPr>
            <w:r>
              <w:rPr>
                <w:rFonts w:ascii="Calibri" w:eastAsia="Times New Roman" w:hAnsi="Calibri" w:cs="Calibri"/>
                <w:color w:val="333333"/>
              </w:rPr>
              <w:t>encounterid</w:t>
            </w:r>
          </w:p>
        </w:tc>
        <w:tc>
          <w:tcPr>
            <w:tcW w:w="1500" w:type="dxa"/>
            <w:tcBorders>
              <w:top w:val="nil"/>
              <w:left w:val="nil"/>
              <w:bottom w:val="single" w:sz="4" w:space="0" w:color="auto"/>
              <w:right w:val="single" w:sz="4" w:space="0" w:color="auto"/>
            </w:tcBorders>
            <w:noWrap/>
            <w:vAlign w:val="bottom"/>
            <w:hideMark/>
          </w:tcPr>
          <w:p w14:paraId="44F2CF80"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 </w:t>
            </w:r>
          </w:p>
        </w:tc>
      </w:tr>
      <w:tr w:rsidR="000D5D45" w:rsidRPr="00C200CF" w14:paraId="31F8825C"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0DDD04D9"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Provider ID</w:t>
            </w:r>
          </w:p>
        </w:tc>
        <w:tc>
          <w:tcPr>
            <w:tcW w:w="2620" w:type="dxa"/>
            <w:tcBorders>
              <w:top w:val="single" w:sz="4" w:space="0" w:color="auto"/>
              <w:left w:val="nil"/>
              <w:bottom w:val="single" w:sz="4" w:space="0" w:color="auto"/>
              <w:right w:val="nil"/>
            </w:tcBorders>
            <w:vAlign w:val="bottom"/>
          </w:tcPr>
          <w:p w14:paraId="730FBE96"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provider_id</w:t>
            </w:r>
          </w:p>
        </w:tc>
        <w:tc>
          <w:tcPr>
            <w:tcW w:w="2620" w:type="dxa"/>
            <w:tcBorders>
              <w:top w:val="nil"/>
              <w:left w:val="single" w:sz="4" w:space="0" w:color="auto"/>
              <w:bottom w:val="single" w:sz="4" w:space="0" w:color="auto"/>
              <w:right w:val="single" w:sz="4" w:space="0" w:color="auto"/>
            </w:tcBorders>
            <w:noWrap/>
            <w:vAlign w:val="bottom"/>
            <w:hideMark/>
          </w:tcPr>
          <w:p w14:paraId="3E0F84D1"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provider_id</w:t>
            </w:r>
          </w:p>
        </w:tc>
        <w:tc>
          <w:tcPr>
            <w:tcW w:w="1500" w:type="dxa"/>
            <w:tcBorders>
              <w:top w:val="nil"/>
              <w:left w:val="nil"/>
              <w:bottom w:val="single" w:sz="4" w:space="0" w:color="auto"/>
              <w:right w:val="single" w:sz="4" w:space="0" w:color="auto"/>
            </w:tcBorders>
            <w:noWrap/>
            <w:vAlign w:val="bottom"/>
            <w:hideMark/>
          </w:tcPr>
          <w:p w14:paraId="7467175F"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 </w:t>
            </w:r>
          </w:p>
        </w:tc>
      </w:tr>
      <w:tr w:rsidR="000D5D45" w:rsidRPr="00C200CF" w14:paraId="38B5FFD3" w14:textId="77777777" w:rsidTr="000D5D45">
        <w:trPr>
          <w:trHeight w:hRule="exact" w:val="230"/>
        </w:trPr>
        <w:tc>
          <w:tcPr>
            <w:tcW w:w="2000" w:type="dxa"/>
            <w:tcBorders>
              <w:top w:val="nil"/>
              <w:left w:val="single" w:sz="4" w:space="0" w:color="auto"/>
              <w:bottom w:val="single" w:sz="4" w:space="0" w:color="auto"/>
              <w:right w:val="single" w:sz="4" w:space="0" w:color="auto"/>
            </w:tcBorders>
            <w:noWrap/>
            <w:vAlign w:val="bottom"/>
            <w:hideMark/>
          </w:tcPr>
          <w:p w14:paraId="25ADDE29"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Symbol" w:hAnsi="Calibri" w:cs="Calibri"/>
                <w:color w:val="000000"/>
              </w:rPr>
              <w:t>Note content</w:t>
            </w:r>
          </w:p>
        </w:tc>
        <w:tc>
          <w:tcPr>
            <w:tcW w:w="2620" w:type="dxa"/>
            <w:tcBorders>
              <w:top w:val="single" w:sz="4" w:space="0" w:color="auto"/>
              <w:left w:val="nil"/>
              <w:bottom w:val="single" w:sz="4" w:space="0" w:color="auto"/>
              <w:right w:val="nil"/>
            </w:tcBorders>
            <w:vAlign w:val="bottom"/>
          </w:tcPr>
          <w:p w14:paraId="1A30A376"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note_text</w:t>
            </w:r>
          </w:p>
        </w:tc>
        <w:tc>
          <w:tcPr>
            <w:tcW w:w="2620" w:type="dxa"/>
            <w:tcBorders>
              <w:top w:val="nil"/>
              <w:left w:val="single" w:sz="4" w:space="0" w:color="auto"/>
              <w:bottom w:val="single" w:sz="4" w:space="0" w:color="auto"/>
              <w:right w:val="single" w:sz="4" w:space="0" w:color="auto"/>
            </w:tcBorders>
            <w:noWrap/>
            <w:vAlign w:val="bottom"/>
            <w:hideMark/>
          </w:tcPr>
          <w:p w14:paraId="56FBB42B" w14:textId="77777777" w:rsidR="000D5D45" w:rsidRPr="00C200CF" w:rsidRDefault="000D5D45" w:rsidP="000D5D45">
            <w:pPr>
              <w:spacing w:after="0" w:line="240" w:lineRule="auto"/>
              <w:rPr>
                <w:rFonts w:ascii="Calibri" w:eastAsia="Times New Roman" w:hAnsi="Calibri" w:cs="Calibri"/>
                <w:color w:val="333333"/>
              </w:rPr>
            </w:pPr>
            <w:r w:rsidRPr="00C200CF">
              <w:rPr>
                <w:rFonts w:ascii="Calibri" w:eastAsia="Times New Roman" w:hAnsi="Calibri" w:cs="Calibri"/>
                <w:color w:val="333333"/>
              </w:rPr>
              <w:t>note_text</w:t>
            </w:r>
          </w:p>
        </w:tc>
        <w:tc>
          <w:tcPr>
            <w:tcW w:w="1500" w:type="dxa"/>
            <w:tcBorders>
              <w:top w:val="nil"/>
              <w:left w:val="nil"/>
              <w:bottom w:val="single" w:sz="4" w:space="0" w:color="auto"/>
              <w:right w:val="single" w:sz="4" w:space="0" w:color="auto"/>
            </w:tcBorders>
            <w:noWrap/>
            <w:vAlign w:val="bottom"/>
            <w:hideMark/>
          </w:tcPr>
          <w:p w14:paraId="113BA858" w14:textId="77777777" w:rsidR="000D5D45" w:rsidRPr="00C200CF" w:rsidRDefault="000D5D45" w:rsidP="000D5D45">
            <w:pPr>
              <w:spacing w:after="0" w:line="240" w:lineRule="auto"/>
              <w:rPr>
                <w:rFonts w:ascii="Calibri" w:eastAsia="Times New Roman" w:hAnsi="Calibri" w:cs="Calibri"/>
                <w:color w:val="000000"/>
              </w:rPr>
            </w:pPr>
            <w:r w:rsidRPr="00C200CF">
              <w:rPr>
                <w:rFonts w:ascii="Calibri" w:eastAsia="Times New Roman" w:hAnsi="Calibri" w:cs="Calibri"/>
                <w:color w:val="000000"/>
              </w:rPr>
              <w:t>not null</w:t>
            </w:r>
          </w:p>
        </w:tc>
      </w:tr>
    </w:tbl>
    <w:p w14:paraId="392422E9" w14:textId="77777777" w:rsidR="00A17453" w:rsidRDefault="00A17453" w:rsidP="00A17453">
      <w:pPr>
        <w:spacing w:after="0" w:line="240" w:lineRule="auto"/>
        <w:rPr>
          <w:rFonts w:ascii="Calibri" w:hAnsi="Calibri" w:cs="Calibri"/>
          <w:color w:val="000000"/>
        </w:rPr>
      </w:pPr>
    </w:p>
    <w:p w14:paraId="3A5C15A5" w14:textId="77777777" w:rsidR="00A17453" w:rsidRDefault="00A17453" w:rsidP="00A17453">
      <w:pPr>
        <w:spacing w:after="0" w:line="240" w:lineRule="auto"/>
        <w:rPr>
          <w:rFonts w:ascii="Calibri" w:hAnsi="Calibri" w:cs="Calibri"/>
          <w:color w:val="000000"/>
        </w:rPr>
      </w:pPr>
      <w:r>
        <w:rPr>
          <w:rFonts w:ascii="Calibri" w:hAnsi="Calibri" w:cs="Calibri"/>
          <w:color w:val="000000"/>
        </w:rPr>
        <w:t>Notes:</w:t>
      </w:r>
    </w:p>
    <w:p w14:paraId="79B71BFA" w14:textId="77777777" w:rsidR="00800F54" w:rsidRPr="00800F54" w:rsidRDefault="00800F54" w:rsidP="00800F54">
      <w:pPr>
        <w:pStyle w:val="ListParagraph"/>
        <w:numPr>
          <w:ilvl w:val="0"/>
          <w:numId w:val="2"/>
        </w:numPr>
        <w:spacing w:after="0" w:line="240" w:lineRule="auto"/>
        <w:rPr>
          <w:rFonts w:ascii="Calibri" w:hAnsi="Calibri" w:cs="Calibri"/>
          <w:color w:val="000000"/>
        </w:rPr>
      </w:pPr>
      <w:r w:rsidRPr="00800F54">
        <w:rPr>
          <w:rFonts w:ascii="Calibri" w:hAnsi="Calibri" w:cs="Calibri"/>
          <w:color w:val="000000"/>
        </w:rPr>
        <w:t xml:space="preserve">Please note that de-identification of the notes </w:t>
      </w:r>
      <w:r>
        <w:rPr>
          <w:rFonts w:ascii="Calibri" w:hAnsi="Calibri" w:cs="Calibri"/>
          <w:color w:val="000000"/>
        </w:rPr>
        <w:t xml:space="preserve">(i.e., removal of HIPAA identifiers) </w:t>
      </w:r>
      <w:r w:rsidRPr="00800F54">
        <w:rPr>
          <w:rFonts w:ascii="Calibri" w:hAnsi="Calibri" w:cs="Calibri"/>
          <w:color w:val="000000"/>
        </w:rPr>
        <w:t>is not required for this task.</w:t>
      </w:r>
      <w:r>
        <w:rPr>
          <w:rFonts w:ascii="Calibri" w:hAnsi="Calibri" w:cs="Calibri"/>
          <w:color w:val="000000"/>
        </w:rPr>
        <w:t xml:space="preserve"> If your institution has internal requirements for this, then it is also ok to do.</w:t>
      </w:r>
    </w:p>
    <w:p w14:paraId="00B93924" w14:textId="77777777" w:rsidR="00A17453" w:rsidRPr="00C200CF" w:rsidRDefault="00A17453" w:rsidP="00A17453">
      <w:pPr>
        <w:pStyle w:val="ListParagraph"/>
        <w:numPr>
          <w:ilvl w:val="0"/>
          <w:numId w:val="2"/>
        </w:numPr>
        <w:spacing w:after="0" w:line="240" w:lineRule="auto"/>
        <w:jc w:val="left"/>
        <w:rPr>
          <w:rFonts w:ascii="Calibri" w:hAnsi="Calibri" w:cs="Calibri"/>
          <w:color w:val="000000"/>
        </w:rPr>
      </w:pPr>
      <w:r w:rsidRPr="00C200CF">
        <w:rPr>
          <w:rFonts w:ascii="Calibri" w:hAnsi="Calibri" w:cs="Calibri"/>
          <w:color w:val="000000"/>
        </w:rPr>
        <w:t>Note titles may need to be de-identified</w:t>
      </w:r>
      <w:r>
        <w:rPr>
          <w:rFonts w:ascii="Calibri" w:hAnsi="Calibri" w:cs="Calibri"/>
          <w:color w:val="000000"/>
        </w:rPr>
        <w:t xml:space="preserve"> if they are not standardized.</w:t>
      </w:r>
    </w:p>
    <w:p w14:paraId="5CD1BC2B" w14:textId="77777777" w:rsidR="00A17453" w:rsidRPr="00CE5615" w:rsidRDefault="00A17453" w:rsidP="00A17453">
      <w:pPr>
        <w:spacing w:after="0" w:line="240" w:lineRule="auto"/>
        <w:rPr>
          <w:rFonts w:ascii="Calibri" w:hAnsi="Calibri" w:cs="Calibri"/>
          <w:color w:val="000000"/>
        </w:rPr>
      </w:pPr>
    </w:p>
    <w:p w14:paraId="752CB042" w14:textId="77777777" w:rsidR="00A17453" w:rsidRPr="00CE5615" w:rsidRDefault="00A17453" w:rsidP="00A17453">
      <w:pPr>
        <w:spacing w:after="0" w:line="240" w:lineRule="auto"/>
        <w:rPr>
          <w:rFonts w:ascii="Calibri" w:hAnsi="Calibri" w:cs="Calibri"/>
          <w:b/>
          <w:bCs/>
          <w:color w:val="000000"/>
        </w:rPr>
      </w:pPr>
      <w:r w:rsidRPr="00C200CF">
        <w:rPr>
          <w:rFonts w:ascii="Calibri" w:hAnsi="Calibri" w:cs="Calibri"/>
          <w:b/>
          <w:bCs/>
          <w:color w:val="000000"/>
          <w:u w:val="single"/>
        </w:rPr>
        <w:t xml:space="preserve">Step </w:t>
      </w:r>
      <w:r w:rsidR="00711891">
        <w:rPr>
          <w:rFonts w:ascii="Calibri" w:hAnsi="Calibri" w:cs="Calibri"/>
          <w:b/>
          <w:bCs/>
          <w:color w:val="000000"/>
          <w:u w:val="single"/>
        </w:rPr>
        <w:t>4</w:t>
      </w:r>
      <w:r w:rsidRPr="00CE5615">
        <w:rPr>
          <w:rFonts w:ascii="Calibri" w:hAnsi="Calibri" w:cs="Calibri"/>
          <w:b/>
          <w:bCs/>
          <w:color w:val="000000"/>
        </w:rPr>
        <w:t>. Storage</w:t>
      </w:r>
      <w:r>
        <w:rPr>
          <w:rFonts w:ascii="Calibri" w:hAnsi="Calibri" w:cs="Calibri"/>
          <w:b/>
          <w:bCs/>
          <w:color w:val="000000"/>
        </w:rPr>
        <w:t xml:space="preserve"> of note data elements</w:t>
      </w:r>
    </w:p>
    <w:p w14:paraId="4E72DC32" w14:textId="77777777" w:rsidR="00A17453" w:rsidRPr="00803956" w:rsidRDefault="00A17453" w:rsidP="00A17453">
      <w:pPr>
        <w:pStyle w:val="ListParagraph"/>
        <w:numPr>
          <w:ilvl w:val="0"/>
          <w:numId w:val="2"/>
        </w:numPr>
        <w:spacing w:after="0" w:line="240" w:lineRule="auto"/>
        <w:ind w:left="360"/>
        <w:jc w:val="left"/>
        <w:rPr>
          <w:rFonts w:ascii="Calibri" w:hAnsi="Calibri" w:cs="Calibri"/>
          <w:color w:val="000000"/>
        </w:rPr>
      </w:pPr>
      <w:r w:rsidRPr="00803956">
        <w:rPr>
          <w:rFonts w:ascii="Calibri" w:hAnsi="Calibri" w:cs="Calibri"/>
          <w:color w:val="000000"/>
        </w:rPr>
        <w:t xml:space="preserve">Each note content should be stored </w:t>
      </w:r>
      <w:r>
        <w:rPr>
          <w:rFonts w:ascii="Calibri" w:hAnsi="Calibri" w:cs="Calibri"/>
          <w:color w:val="000000"/>
        </w:rPr>
        <w:t xml:space="preserve">locally </w:t>
      </w:r>
      <w:r w:rsidRPr="00803956">
        <w:rPr>
          <w:rFonts w:ascii="Calibri" w:hAnsi="Calibri" w:cs="Calibri"/>
          <w:color w:val="000000"/>
        </w:rPr>
        <w:t xml:space="preserve">into a file with the following name format: </w:t>
      </w:r>
      <w:r>
        <w:rPr>
          <w:rFonts w:ascii="Calibri" w:hAnsi="Calibri" w:cs="Calibri"/>
          <w:b/>
          <w:bCs/>
          <w:color w:val="000000"/>
        </w:rPr>
        <w:t>USDHub</w:t>
      </w:r>
      <w:r w:rsidRPr="00803956">
        <w:rPr>
          <w:rFonts w:ascii="Calibri" w:hAnsi="Calibri" w:cs="Calibri"/>
          <w:b/>
          <w:bCs/>
          <w:color w:val="000000"/>
        </w:rPr>
        <w:t>ID.NoteID.txt</w:t>
      </w:r>
    </w:p>
    <w:p w14:paraId="27764CB2" w14:textId="77777777" w:rsidR="00A17453" w:rsidRDefault="00A17453" w:rsidP="00A17453">
      <w:pPr>
        <w:spacing w:after="0" w:line="240" w:lineRule="auto"/>
        <w:rPr>
          <w:rFonts w:ascii="Calibri" w:hAnsi="Calibri" w:cs="Calibri"/>
          <w:color w:val="000000"/>
        </w:rPr>
      </w:pPr>
    </w:p>
    <w:p w14:paraId="00691D0A" w14:textId="77777777" w:rsidR="00A17453" w:rsidRPr="002C6F89" w:rsidRDefault="00A17453" w:rsidP="00A17453">
      <w:pPr>
        <w:pStyle w:val="ListParagraph"/>
        <w:numPr>
          <w:ilvl w:val="0"/>
          <w:numId w:val="2"/>
        </w:numPr>
        <w:spacing w:after="0" w:line="240" w:lineRule="auto"/>
        <w:ind w:left="360"/>
        <w:jc w:val="left"/>
        <w:rPr>
          <w:rFonts w:ascii="Calibri" w:hAnsi="Calibri" w:cs="Calibri"/>
          <w:color w:val="000000"/>
        </w:rPr>
      </w:pPr>
      <w:r w:rsidRPr="00803956">
        <w:rPr>
          <w:rFonts w:ascii="Calibri" w:hAnsi="Calibri" w:cs="Calibri"/>
          <w:color w:val="000000"/>
        </w:rPr>
        <w:t>The rest of the data elements should be stored into a csv file with the following columns:</w:t>
      </w:r>
      <w:r>
        <w:rPr>
          <w:rFonts w:ascii="Calibri" w:hAnsi="Calibri" w:cs="Calibri"/>
          <w:color w:val="000000"/>
        </w:rPr>
        <w:t xml:space="preserve"> </w:t>
      </w:r>
      <w:r w:rsidRPr="00A25FF4">
        <w:rPr>
          <w:rFonts w:ascii="Calibri" w:hAnsi="Calibri" w:cs="Calibri"/>
          <w:b/>
          <w:bCs/>
          <w:color w:val="000000"/>
        </w:rPr>
        <w:t>USDHub</w:t>
      </w:r>
      <w:r w:rsidRPr="00803956">
        <w:rPr>
          <w:rFonts w:ascii="Calibri" w:hAnsi="Calibri" w:cs="Calibri"/>
          <w:b/>
          <w:bCs/>
          <w:color w:val="000000"/>
        </w:rPr>
        <w:t>ID,NoteID,NoteDate,NoteType,NoteTitle</w:t>
      </w:r>
      <w:r>
        <w:rPr>
          <w:rFonts w:ascii="Calibri" w:hAnsi="Calibri" w:cs="Calibri"/>
          <w:b/>
          <w:bCs/>
          <w:color w:val="000000"/>
        </w:rPr>
        <w:t>,</w:t>
      </w:r>
      <w:r w:rsidRPr="00803956">
        <w:rPr>
          <w:rFonts w:ascii="Calibri" w:hAnsi="Calibri" w:cs="Calibri"/>
          <w:b/>
          <w:bCs/>
          <w:color w:val="000000"/>
        </w:rPr>
        <w:t>VisitOccurrenceID,ProviderID</w:t>
      </w:r>
    </w:p>
    <w:p w14:paraId="5B8BA9F9" w14:textId="77777777" w:rsidR="002C6F89" w:rsidRPr="002C6F89" w:rsidRDefault="002C6F89" w:rsidP="002C6F89">
      <w:pPr>
        <w:pStyle w:val="ListParagraph"/>
        <w:rPr>
          <w:rFonts w:ascii="Calibri" w:hAnsi="Calibri" w:cs="Calibri"/>
          <w:color w:val="000000"/>
        </w:rPr>
      </w:pPr>
    </w:p>
    <w:p w14:paraId="1804AF25" w14:textId="77777777" w:rsidR="002C6F89" w:rsidRPr="002C6F89" w:rsidRDefault="002C6F89" w:rsidP="002C6F89">
      <w:pPr>
        <w:spacing w:after="0" w:line="240" w:lineRule="auto"/>
        <w:jc w:val="left"/>
        <w:rPr>
          <w:rFonts w:ascii="Calibri" w:hAnsi="Calibri" w:cs="Calibri"/>
          <w:b/>
          <w:bCs/>
          <w:color w:val="EE0000"/>
        </w:rPr>
      </w:pPr>
      <w:r w:rsidRPr="002C6F89">
        <w:rPr>
          <w:rFonts w:ascii="Calibri" w:hAnsi="Calibri" w:cs="Calibri"/>
          <w:b/>
          <w:bCs/>
          <w:color w:val="EE0000"/>
        </w:rPr>
        <w:t>October 31, 2025</w:t>
      </w:r>
    </w:p>
    <w:p w14:paraId="06BFDFB5" w14:textId="77777777" w:rsidR="00A17453" w:rsidRDefault="00A17453" w:rsidP="00A17453">
      <w:pPr>
        <w:spacing w:after="0" w:line="240" w:lineRule="auto"/>
        <w:rPr>
          <w:rFonts w:ascii="Calibri" w:hAnsi="Calibri" w:cs="Calibri"/>
        </w:rPr>
      </w:pPr>
    </w:p>
    <w:p w14:paraId="09F5DE40" w14:textId="77777777" w:rsidR="00A17453" w:rsidRDefault="00A17453" w:rsidP="00A17453">
      <w:pPr>
        <w:spacing w:after="0" w:line="240" w:lineRule="auto"/>
        <w:rPr>
          <w:rFonts w:ascii="Calibri" w:hAnsi="Calibri" w:cs="Calibri"/>
        </w:rPr>
      </w:pPr>
      <w:r>
        <w:rPr>
          <w:rFonts w:ascii="Calibri" w:hAnsi="Calibri" w:cs="Calibri"/>
        </w:rPr>
        <w:t>Notes:</w:t>
      </w:r>
    </w:p>
    <w:p w14:paraId="385BF945" w14:textId="77777777" w:rsidR="00A17453" w:rsidRDefault="00A17453" w:rsidP="00A17453">
      <w:pPr>
        <w:pStyle w:val="ListParagraph"/>
        <w:numPr>
          <w:ilvl w:val="0"/>
          <w:numId w:val="4"/>
        </w:numPr>
        <w:spacing w:after="0" w:line="240" w:lineRule="auto"/>
        <w:jc w:val="left"/>
        <w:rPr>
          <w:rFonts w:ascii="Calibri" w:hAnsi="Calibri" w:cs="Calibri"/>
        </w:rPr>
      </w:pPr>
      <w:r>
        <w:rPr>
          <w:rFonts w:ascii="Calibri" w:hAnsi="Calibri" w:cs="Calibri"/>
        </w:rPr>
        <w:t>USD</w:t>
      </w:r>
      <w:r w:rsidRPr="00803956">
        <w:rPr>
          <w:rFonts w:ascii="Calibri" w:hAnsi="Calibri" w:cs="Calibri"/>
        </w:rPr>
        <w:t xml:space="preserve">HubIDs </w:t>
      </w:r>
      <w:r>
        <w:rPr>
          <w:rFonts w:ascii="Calibri" w:hAnsi="Calibri" w:cs="Calibri"/>
        </w:rPr>
        <w:t>s</w:t>
      </w:r>
      <w:r w:rsidRPr="00803956">
        <w:rPr>
          <w:rFonts w:ascii="Calibri" w:hAnsi="Calibri" w:cs="Calibri"/>
        </w:rPr>
        <w:t xml:space="preserve">hould be </w:t>
      </w:r>
      <w:r w:rsidR="00913E0B">
        <w:rPr>
          <w:rFonts w:ascii="Calibri" w:hAnsi="Calibri" w:cs="Calibri"/>
        </w:rPr>
        <w:t xml:space="preserve">assigned </w:t>
      </w:r>
      <w:r w:rsidRPr="00803956">
        <w:rPr>
          <w:rFonts w:ascii="Calibri" w:hAnsi="Calibri" w:cs="Calibri"/>
        </w:rPr>
        <w:t>based on the established mapping between patient IDs and USDHub IDs.</w:t>
      </w:r>
    </w:p>
    <w:p w14:paraId="3B769280" w14:textId="77777777" w:rsidR="00A17453" w:rsidRDefault="00A17453" w:rsidP="00A17453">
      <w:pPr>
        <w:pStyle w:val="ListParagraph"/>
        <w:numPr>
          <w:ilvl w:val="0"/>
          <w:numId w:val="4"/>
        </w:numPr>
        <w:spacing w:after="0" w:line="240" w:lineRule="auto"/>
        <w:jc w:val="left"/>
        <w:rPr>
          <w:rFonts w:ascii="Calibri" w:hAnsi="Calibri" w:cs="Calibri"/>
        </w:rPr>
      </w:pPr>
      <w:r>
        <w:rPr>
          <w:rFonts w:ascii="Calibri" w:hAnsi="Calibri" w:cs="Calibri"/>
        </w:rPr>
        <w:t>USDHub IDs must be in the correct string format: An example of the USDHub ID format has “USDHUB+20 digits” (An example: USDHUB12345678901234567890).</w:t>
      </w:r>
    </w:p>
    <w:p w14:paraId="4EDF0873" w14:textId="77777777" w:rsidR="00A17453" w:rsidRDefault="00A17453" w:rsidP="00A17453">
      <w:pPr>
        <w:pStyle w:val="ListParagraph"/>
        <w:numPr>
          <w:ilvl w:val="0"/>
          <w:numId w:val="4"/>
        </w:numPr>
        <w:spacing w:after="0" w:line="240" w:lineRule="auto"/>
        <w:jc w:val="left"/>
        <w:rPr>
          <w:rFonts w:ascii="Calibri" w:hAnsi="Calibri" w:cs="Calibri"/>
        </w:rPr>
      </w:pPr>
      <w:r w:rsidRPr="00DB7482">
        <w:rPr>
          <w:rFonts w:ascii="Calibri" w:hAnsi="Calibri" w:cs="Calibri"/>
        </w:rPr>
        <w:t>It is recommended that note content files be stored in batches, with each batch organized into a separate folder.</w:t>
      </w:r>
    </w:p>
    <w:p w14:paraId="5D53F659" w14:textId="77777777" w:rsidR="00676198" w:rsidRDefault="00676198" w:rsidP="00C44485">
      <w:pPr>
        <w:pStyle w:val="Heading3"/>
      </w:pPr>
    </w:p>
    <w:p w14:paraId="791E949D" w14:textId="77777777" w:rsidR="00B95B0E" w:rsidRDefault="00B95B0E">
      <w:pPr>
        <w:jc w:val="left"/>
        <w:sectPr w:rsidR="00B95B0E">
          <w:pgSz w:w="12240" w:h="15840"/>
          <w:pgMar w:top="1440" w:right="1800" w:bottom="1440" w:left="1800" w:header="720" w:footer="720" w:gutter="0"/>
          <w:cols w:space="720"/>
          <w:docGrid w:linePitch="360"/>
        </w:sectPr>
      </w:pPr>
    </w:p>
    <w:p>
      <w:pPr>
        <w:jc w:val="left"/>
        <w:sectPr>
          <w:footerReference w:type="default" r:id="rId22"/>
          <w:pgSz w:w="12240" w:h="15840"/>
          <w:pgMar w:top="1440" w:right="1800" w:bottom="1440" w:left="1800" w:header="720" w:footer="720" w:gutter="0"/>
          <w:cols w:space="720"/>
          <w:docGrid w:linePitch="360"/>
        </w:sectPr>
      </w:pPr>
    </w:p>
    <w:p>
      <w:pPr>
        <w:jc w:val="left"/>
        <w:sectPr>
          <w:footerReference w:type="default" r:id="rId25"/>
          <w:pgSz w:w="12240" w:h="15840"/>
          <w:pgMar w:top="1440" w:right="1800" w:bottom="1440" w:left="1800" w:header="720" w:footer="720" w:gutter="0"/>
          <w:cols w:space="720"/>
          <w:docGrid w:linePitch="360"/>
        </w:sectPr>
      </w:pPr>
    </w:p>
    <w:p>
      <w:pPr>
        <w:pStyle w:val="Heading1"/>
        <w:jc w:val="left"/>
      </w:pPr>
      <w:r>
        <w:t>Phase II: Run cTAKES with the TUI</w:t>
      </w:r>
    </w:p>
    <w:p>
      <w:pPr>
        <w:spacing w:after="160"/>
        <w:jc w:val="left"/>
      </w:pPr>
      <w:r>
        <w:t>Use this workflow after Phase I notes have been prepared. The TUI checks filenames, capacity, storage, run progress, and final output before anything is handed off.</w:t>
      </w:r>
    </w:p>
    <w:tbl>
      <w:tblPr>
        <w:tblW w:type="auto" w:w="0"/>
        <w:jc w:val="center"/>
        <w:tblLook w:firstColumn="1" w:firstRow="1" w:lastColumn="0" w:lastRow="0" w:noHBand="0" w:noVBand="1" w:val="04A0"/>
      </w:tblPr>
      <w:tblGrid>
        <w:gridCol w:w="8640"/>
      </w:tblGrid>
      <w:tr>
        <w:tc>
          <w:tcPr>
            <w:tcW w:type="dxa" w:w="8640"/>
            <w:shd w:fill="EAF3E8"/>
            <w:tcBorders>
              <w:top w:val="single" w:sz="12" w:color="70AD47"/>
              <w:left w:val="single" w:sz="12" w:color="70AD47"/>
              <w:bottom w:val="single" w:sz="12" w:color="70AD47"/>
              <w:right w:val="single" w:sz="12" w:color="70AD47"/>
            </w:tcBorders>
          </w:tcPr>
          <w:p>
            <w:pPr>
              <w:spacing w:after="80"/>
              <w:jc w:val="left"/>
            </w:pPr>
            <w:r>
              <w:rPr>
                <w:b/>
                <w:color w:val="2F5424"/>
                <w:sz w:val="26"/>
              </w:rPr>
              <w:t>What you deliver</w:t>
            </w:r>
          </w:p>
          <w:p>
            <w:pPr>
              <w:jc w:val="left"/>
            </w:pPr>
            <w:r>
              <w:rPr>
                <w:b w:val="0"/>
              </w:rPr>
              <w:t xml:space="preserve">Deliver only </w:t>
            </w:r>
            <w:r>
              <w:rPr>
                <w:b/>
              </w:rPr>
              <w:t>concepts.csv</w:t>
            </w:r>
            <w:r>
              <w:t xml:space="preserve"> and </w:t>
            </w:r>
            <w:r>
              <w:rPr>
                <w:b/>
              </w:rPr>
              <w:t>drugs.csv</w:t>
            </w:r>
            <w:r>
              <w:t xml:space="preserve"> for the routine approved handoff.</w:t>
            </w:r>
          </w:p>
          <w:p>
            <w:pPr>
              <w:spacing w:after="40"/>
              <w:jc w:val="left"/>
            </w:pPr>
            <w:r>
              <w:t>Keep annotations.sqlite, JSON receipts, logs, manifests, optional XMI or browser HTML, prepared-note receipts, and named-copy receipts inside the approved local environment. They support validation, audit, review, and recovery; do not send them unless the project lead explicitly requests them and the transfer is approved.</w:t>
            </w:r>
          </w:p>
          <w:p>
            <w:pPr>
              <w:jc w:val="left"/>
            </w:pPr>
            <w:r>
              <w:rPr>
                <w:b/>
              </w:rPr>
              <w:t xml:space="preserve">Never hand off partial output. </w:t>
            </w:r>
            <w:r>
              <w:t>Send the two CSVs only after the TUI says the output passed all checks.</w:t>
            </w:r>
          </w:p>
        </w:tc>
      </w:tr>
    </w:tbl>
    <w:p>
      <w:pPr>
        <w:pStyle w:val="Heading2"/>
        <w:jc w:val="left"/>
      </w:pPr>
      <w:r>
        <w:t>Start-to-finish directions</w:t>
      </w:r>
    </w:p>
    <w:p>
      <w:pPr>
        <w:pStyle w:val="MOPStep"/>
        <w:jc w:val="left"/>
      </w:pPr>
      <w:r>
        <w:t>1. Clone, verify, then install</w:t>
      </w:r>
    </w:p>
    <w:p>
      <w:pPr>
        <w:spacing w:after="120"/>
        <w:keepNext/>
        <w:jc w:val="left"/>
      </w:pPr>
      <w:r>
        <w:t>Use Linux or WSL with Git and Java 17 or newer. Python 3.9 or newer is supported. The installer chooses the newest supported Python already available, creates a private environment for the TUI, and does not replace the system Python.</w:t>
      </w:r>
    </w:p>
    <w:p>
      <w:pPr>
        <w:jc w:val="left"/>
      </w:pPr>
      <w:r>
        <w:rPr>
          <w:b/>
        </w:rPr>
        <w:t xml:space="preserve">Command safety: </w:t>
      </w:r>
      <w:r>
        <w:t>The official site has no shell-command Copy button and no code that writes commands to the clipboard. Select visible text manually. This guide never asks you to paste a command from a browser verification box, CAPTCHA, pop-up, Run dialog, chat, or support message. If anything does, stop. Run the next three steps separately so cloning ends before repository code can execute.</w:t>
      </w:r>
    </w:p>
    <w:p>
      <w:pPr>
        <w:jc w:val="left"/>
      </w:pPr>
      <w:r>
        <w:rPr>
          <w:b/>
        </w:rPr>
        <w:t>A. Clone only. This downloads the checkout and does not run its scripts.</w:t>
      </w:r>
    </w:p>
    <w:tbl>
      <w:tblPr>
        <w:tblW w:type="auto" w:w="0"/>
        <w:jc w:val="center"/>
        <w:tblLayout w:type="autofit"/>
        <w:tblLook w:firstColumn="1" w:firstRow="1" w:lastColumn="0" w:lastRow="0" w:noHBand="0" w:noVBand="1" w:val="04A0"/>
      </w:tblPr>
      <w:tblGrid>
        <w:gridCol w:w="8640"/>
      </w:tblGrid>
      <w:tr>
        <w:tc>
          <w:tcPr>
            <w:tcW w:type="dxa" w:w="8640"/>
            <w:shd w:fill="F3F5F7"/>
            <w:tcBorders>
              <w:top w:val="single" w:sz="6" w:color="AAB4BF"/>
              <w:left w:val="single" w:sz="6" w:color="AAB4BF"/>
              <w:bottom w:val="single" w:sz="6" w:color="AAB4BF"/>
              <w:right w:val="single" w:sz="6" w:color="AAB4BF"/>
            </w:tcBorders>
            <w:vAlign w:val="center"/>
          </w:tcPr>
          <w:p>
            <w:pPr>
              <w:spacing w:before="100" w:after="100"/>
              <w:jc w:val="left"/>
            </w:pPr>
            <w:r>
              <w:rPr>
                <w:rFonts w:ascii="Consolas" w:hAnsi="Consolas" w:eastAsia="Consolas"/>
                <w:sz w:val="17"/>
              </w:rPr>
              <w:t>git clone --branch main --depth 1 https://codeberg.org/editnori/Ctakes_USD.git Ctakes_USD</w:t>
            </w:r>
          </w:p>
        </w:tc>
      </w:tr>
    </w:tbl>
    <w:p>
      <w:pPr>
        <w:jc w:val="left"/>
      </w:pPr>
      <w:r>
        <w:rPr>
          <w:b/>
        </w:rPr>
        <w:t>B. Use local Git to require the exact Codeberg remote, main branch, and clean working tree. A pass prints Verified clean main checkout and the commit ID. No output or an error means stop.</w:t>
      </w:r>
    </w:p>
    <w:tbl>
      <w:tblPr>
        <w:tblW w:type="auto" w:w="0"/>
        <w:jc w:val="center"/>
        <w:tblLayout w:type="autofit"/>
        <w:tblLook w:firstColumn="1" w:firstRow="1" w:lastColumn="0" w:lastRow="0" w:noHBand="0" w:noVBand="1" w:val="04A0"/>
      </w:tblPr>
      <w:tblGrid>
        <w:gridCol w:w="8640"/>
      </w:tblGrid>
      <w:tr>
        <w:tc>
          <w:tcPr>
            <w:tcW w:type="dxa" w:w="8640"/>
            <w:shd w:fill="F3F5F7"/>
            <w:tcBorders>
              <w:top w:val="single" w:sz="6" w:color="AAB4BF"/>
              <w:left w:val="single" w:sz="6" w:color="AAB4BF"/>
              <w:bottom w:val="single" w:sz="6" w:color="AAB4BF"/>
              <w:right w:val="single" w:sz="6" w:color="AAB4BF"/>
            </w:tcBorders>
            <w:vAlign w:val="center"/>
          </w:tcPr>
          <w:p>
            <w:pPr>
              <w:spacing w:before="100" w:after="100"/>
              <w:jc w:val="left"/>
            </w:pPr>
            <w:r>
              <w:rPr>
                <w:rFonts w:ascii="Consolas" w:hAnsi="Consolas" w:eastAsia="Consolas"/>
                <w:sz w:val="17"/>
              </w:rPr>
              <w:t>test "$(git -C Ctakes_USD remote get-url origin)" = "https://codeberg.org/editnori/Ctakes_USD.git" &amp;&amp; test "$(git -C Ctakes_USD branch --show-current)" = "main" &amp;&amp; test -z "$(git -C Ctakes_USD status --porcelain)" &amp;&amp; printf 'Verified clean main checkout: ' &amp;&amp; git -C Ctakes_USD rev-parse --short=12 HEAD</w:t>
            </w:r>
          </w:p>
        </w:tc>
      </w:tr>
    </w:tbl>
    <w:p>
      <w:pPr>
        <w:jc w:val="left"/>
      </w:pPr>
      <w:r>
        <w:rPr>
          <w:b/>
        </w:rPr>
        <w:t>C. Only after the local check passes, run setup, the known-answer test, and the TUI.</w:t>
      </w:r>
    </w:p>
    <w:tbl>
      <w:tblPr>
        <w:tblW w:type="auto" w:w="0"/>
        <w:jc w:val="center"/>
        <w:tblLayout w:type="autofit"/>
        <w:tblLook w:firstColumn="1" w:firstRow="1" w:lastColumn="0" w:lastRow="0" w:noHBand="0" w:noVBand="1" w:val="04A0"/>
      </w:tblPr>
      <w:tblGrid>
        <w:gridCol w:w="8640"/>
      </w:tblGrid>
      <w:tr>
        <w:tc>
          <w:tcPr>
            <w:tcW w:type="dxa" w:w="8640"/>
            <w:shd w:fill="F3F5F7"/>
            <w:tcBorders>
              <w:top w:val="single" w:sz="6" w:color="AAB4BF"/>
              <w:left w:val="single" w:sz="6" w:color="AAB4BF"/>
              <w:bottom w:val="single" w:sz="6" w:color="AAB4BF"/>
              <w:right w:val="single" w:sz="6" w:color="AAB4BF"/>
            </w:tcBorders>
            <w:vAlign w:val="center"/>
          </w:tcPr>
          <w:p>
            <w:pPr>
              <w:spacing w:before="100" w:after="100"/>
              <w:jc w:val="left"/>
            </w:pPr>
            <w:r>
              <w:rPr>
                <w:rFonts w:ascii="Consolas" w:hAnsi="Consolas" w:eastAsia="Consolas"/>
                <w:sz w:val="17"/>
              </w:rPr>
              <w:t>cd Ctakes_USD &amp;&amp; bash scripts/setup.sh --tui &amp;&amp; ./ctakes verify &amp;&amp; ./ctakes tui</w:t>
            </w:r>
          </w:p>
        </w:tc>
      </w:tr>
    </w:tbl>
    <w:p>
      <w:pPr>
        <w:jc w:val="left"/>
      </w:pPr>
      <w:r>
        <w:rPr>
          <w:b/>
        </w:rPr>
        <w:t xml:space="preserve">Continue only after verification prints: </w:t>
      </w:r>
      <w:r>
        <w:rPr>
          <w:rFonts w:ascii="Consolas" w:hAnsi="Consolas" w:eastAsia="Consolas"/>
        </w:rPr>
        <w:t>PASS: cTAKES USDHUB is ready for a full batch.</w:t>
      </w:r>
    </w:p>
    <w:p>
      <w:pPr>
        <w:jc w:val="left"/>
      </w:pPr>
      <w:r>
        <w:t>Later, reopen the console with ctakes tui. From the repository folder, ./ctakes tui also works.</w:t>
      </w:r>
    </w:p>
    <w:p>
      <w:pPr>
        <w:pStyle w:val="MOPStep"/>
        <w:jc w:val="left"/>
      </w:pPr>
      <w:r>
        <w:t>2. Confirm the console is ready</w:t>
      </w:r>
    </w:p>
    <w:p>
      <w:pPr>
        <w:spacing w:after="120"/>
        <w:keepNext/>
        <w:jc w:val="left"/>
      </w:pPr>
      <w:r>
        <w:t>On the Home screen, verify that Setup, System diagnostics, and Sample testing passed and that the banner says READY TO PROCESS NOTES.</w:t>
      </w:r>
    </w:p>
    <w:p>
      <w:pPr>
        <w:jc w:val="center"/>
        <w:keepNext/>
      </w:pPr>
      <w:r>
        <w:drawing>
          <wp:inline xmlns:a="http://schemas.openxmlformats.org/drawingml/2006/main" xmlns:pic="http://schemas.openxmlformats.org/drawingml/2006/picture">
            <wp:extent cx="5806440" cy="3636283"/>
            <wp:docPr id="1" name="TUI walkthrough 1: Home is ready" descr="Confirm that the Home screen says READY TO PROCESS NOTES."/>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806440" cy="3636283"/>
                    </a:xfrm>
                    <a:prstGeom prst="rect"/>
                  </pic:spPr>
                </pic:pic>
              </a:graphicData>
            </a:graphic>
          </wp:inline>
        </w:drawing>
      </w:r>
    </w:p>
    <w:p>
      <w:pPr>
        <w:pStyle w:val="Caption"/>
        <w:jc w:val="center"/>
      </w:pPr>
      <w:r>
        <w:t>Figure 1. Confirm that the Home screen says READY TO PROCESS NOTES.</w:t>
      </w:r>
    </w:p>
    <w:p>
      <w:pPr>
        <w:pStyle w:val="MOPStep"/>
        <w:jc w:val="left"/>
      </w:pPr>
      <w:r>
        <w:t>3. Choose the notes and results folders</w:t>
      </w:r>
    </w:p>
    <w:p>
      <w:pPr>
        <w:spacing w:after="120"/>
        <w:keepNext/>
        <w:jc w:val="left"/>
      </w:pPr>
      <w:r>
        <w:t>Select New run. Choose the folder containing the approved .txt notes, then choose where the private results will be saved. Subfolders are allowed, but the notes folder itself must contain only supported .txt notes.</w:t>
      </w:r>
    </w:p>
    <w:p>
      <w:pPr>
        <w:jc w:val="center"/>
        <w:keepNext/>
      </w:pPr>
      <w:r>
        <w:drawing>
          <wp:inline xmlns:a="http://schemas.openxmlformats.org/drawingml/2006/main" xmlns:pic="http://schemas.openxmlformats.org/drawingml/2006/picture">
            <wp:extent cx="5806440" cy="3636283"/>
            <wp:docPr id="2" name="TUI walkthrough 2: Choose folders" descr="Open New run, then select the notes folder and the results location."/>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806440" cy="3636283"/>
                    </a:xfrm>
                    <a:prstGeom prst="rect"/>
                  </pic:spPr>
                </pic:pic>
              </a:graphicData>
            </a:graphic>
          </wp:inline>
        </w:drawing>
      </w:r>
    </w:p>
    <w:p>
      <w:pPr>
        <w:pStyle w:val="Caption"/>
        <w:jc w:val="center"/>
      </w:pPr>
      <w:r>
        <w:t>Figure 2. Open New run, then select the notes folder and the results location.</w:t>
      </w:r>
    </w:p>
    <w:p>
      <w:pPr>
        <w:pStyle w:val="MOPStep"/>
        <w:jc w:val="left"/>
      </w:pPr>
      <w:r>
        <w:t>4. Check the run before starting</w:t>
      </w:r>
    </w:p>
    <w:p>
      <w:pPr>
        <w:spacing w:after="120"/>
        <w:keepNext/>
        <w:jc w:val="left"/>
      </w:pPr>
      <w:r>
        <w:t>Select Check run. Review the note count, filename validation, computer capacity, and storage estimate. If names are convertible, use Prepare compatible copy, then choose Use prepared folder and re-check. The original notes are never renamed in place.</w:t>
      </w:r>
    </w:p>
    <w:p>
      <w:pPr>
        <w:jc w:val="center"/>
        <w:keepNext/>
      </w:pPr>
      <w:r>
        <w:drawing>
          <wp:inline xmlns:a="http://schemas.openxmlformats.org/drawingml/2006/main" xmlns:pic="http://schemas.openxmlformats.org/drawingml/2006/picture">
            <wp:extent cx="5806440" cy="3636283"/>
            <wp:docPr id="3" name="TUI walkthrough 3: Check the run" descr="Select Check run and review the note, filename, capacity, and storage check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5806440" cy="3636283"/>
                    </a:xfrm>
                    <a:prstGeom prst="rect"/>
                  </pic:spPr>
                </pic:pic>
              </a:graphicData>
            </a:graphic>
          </wp:inline>
        </w:drawing>
      </w:r>
    </w:p>
    <w:p>
      <w:pPr>
        <w:pStyle w:val="Caption"/>
        <w:jc w:val="center"/>
      </w:pPr>
      <w:r>
        <w:t>Figure 3. Select Check run and review the note, filename, capacity, and storage checks.</w:t>
      </w:r>
    </w:p>
    <w:p>
      <w:pPr>
        <w:pStyle w:val="MOPStep"/>
        <w:jc w:val="left"/>
      </w:pPr>
      <w:r>
        <w:t>5. Start the background run</w:t>
      </w:r>
    </w:p>
    <w:p>
      <w:pPr>
        <w:spacing w:after="120"/>
        <w:keepNext/>
        <w:jc w:val="left"/>
      </w:pPr>
      <w:r>
        <w:t>Select Start N notes, review the confirmation, and select Start. Wait until the console reports Started before closing the TUI or the SSH terminal. After that message, the managed run continues in the background.</w:t>
      </w:r>
    </w:p>
    <w:p>
      <w:pPr>
        <w:jc w:val="center"/>
        <w:keepNext/>
      </w:pPr>
      <w:r>
        <w:drawing>
          <wp:inline xmlns:a="http://schemas.openxmlformats.org/drawingml/2006/main" xmlns:pic="http://schemas.openxmlformats.org/drawingml/2006/picture">
            <wp:extent cx="5806440" cy="3636283"/>
            <wp:docPr id="4" name="TUI walkthrough 4: Start safely" descr="Review the confirmation, then start the background run."/>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5806440" cy="3636283"/>
                    </a:xfrm>
                    <a:prstGeom prst="rect"/>
                  </pic:spPr>
                </pic:pic>
              </a:graphicData>
            </a:graphic>
          </wp:inline>
        </w:drawing>
      </w:r>
    </w:p>
    <w:p>
      <w:pPr>
        <w:pStyle w:val="Caption"/>
        <w:jc w:val="center"/>
      </w:pPr>
      <w:r>
        <w:t>Figure 4. Review the confirmation, then start the background run.</w:t>
      </w:r>
    </w:p>
    <w:p>
      <w:pPr>
        <w:pStyle w:val="MOPStep"/>
        <w:jc w:val="left"/>
      </w:pPr>
      <w:r>
        <w:t>6. Monitor and reconnect</w:t>
      </w:r>
    </w:p>
    <w:p>
      <w:pPr>
        <w:spacing w:after="120"/>
        <w:keepNext/>
        <w:jc w:val="left"/>
      </w:pPr>
      <w:r>
        <w:t>Open Runs &amp; cTAKES logs to follow the current stage. You may leave and reopen the TUI; it reconnects to the saved background run. If a sharded run is interrupted, select Check &amp; continue and review the recovery preview before confirming.</w:t>
      </w:r>
    </w:p>
    <w:p>
      <w:pPr>
        <w:jc w:val="center"/>
        <w:keepNext/>
      </w:pPr>
      <w:r>
        <w:drawing>
          <wp:inline xmlns:a="http://schemas.openxmlformats.org/drawingml/2006/main" xmlns:pic="http://schemas.openxmlformats.org/drawingml/2006/picture">
            <wp:extent cx="5806440" cy="3636283"/>
            <wp:docPr id="5" name="TUI walkthrough 5: Monitor progress" descr="Use Runs &amp; cTAKES logs to follow processing without keeping the TUI open."/>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5806440" cy="3636283"/>
                    </a:xfrm>
                    <a:prstGeom prst="rect"/>
                  </pic:spPr>
                </pic:pic>
              </a:graphicData>
            </a:graphic>
          </wp:inline>
        </w:drawing>
      </w:r>
    </w:p>
    <w:p>
      <w:pPr>
        <w:pStyle w:val="Caption"/>
        <w:jc w:val="center"/>
      </w:pPr>
      <w:r>
        <w:t>Figure 5. Use Runs &amp; cTAKES logs to follow processing without keeping the TUI open.</w:t>
      </w:r>
    </w:p>
    <w:p>
      <w:pPr>
        <w:pStyle w:val="MOPStep"/>
        <w:jc w:val="left"/>
      </w:pPr>
      <w:r>
        <w:t>7. Wait until the run passes</w:t>
      </w:r>
    </w:p>
    <w:p>
      <w:pPr>
        <w:spacing w:after="120"/>
        <w:keepNext/>
        <w:jc w:val="left"/>
      </w:pPr>
      <w:r>
        <w:t>Wait until the run is complete and the console says OUTPUT PASSED ALL CHECKS. The CSV files are ready for the approved handoff. Failed, stopped, or partial output must stay local and must not be sent.</w:t>
      </w:r>
    </w:p>
    <w:p>
      <w:pPr>
        <w:jc w:val="center"/>
        <w:keepNext/>
      </w:pPr>
      <w:r>
        <w:drawing>
          <wp:inline xmlns:a="http://schemas.openxmlformats.org/drawingml/2006/main" xmlns:pic="http://schemas.openxmlformats.org/drawingml/2006/picture">
            <wp:extent cx="5806440" cy="3636283"/>
            <wp:docPr id="6" name="TUI walkthrough 6: Wait until the run passes" descr="Wait for the run and its output checks to pass."/>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5806440" cy="3636283"/>
                    </a:xfrm>
                    <a:prstGeom prst="rect"/>
                  </pic:spPr>
                </pic:pic>
              </a:graphicData>
            </a:graphic>
          </wp:inline>
        </w:drawing>
      </w:r>
    </w:p>
    <w:p>
      <w:pPr>
        <w:pStyle w:val="Caption"/>
        <w:jc w:val="center"/>
      </w:pPr>
      <w:r>
        <w:t>Figure 6. Wait for the run and its output checks to pass.</w:t>
      </w:r>
    </w:p>
    <w:p>
      <w:pPr>
        <w:pStyle w:val="MOPStep"/>
        <w:jc w:val="left"/>
      </w:pPr>
      <w:r>
        <w:t>8. Review locally</w:t>
      </w:r>
    </w:p>
    <w:p>
      <w:pPr>
        <w:spacing w:after="120"/>
        <w:keepNext/>
        <w:jc w:val="left"/>
      </w:pPr>
      <w:r>
        <w:t>Open the built-in viewer to review source text, concepts, and medications. The viewer and SQLite database can contain full note text and must remain inside the approved clinical environment.</w:t>
      </w:r>
    </w:p>
    <w:p>
      <w:pPr>
        <w:jc w:val="center"/>
        <w:keepNext/>
      </w:pPr>
      <w:r>
        <w:drawing>
          <wp:inline xmlns:a="http://schemas.openxmlformats.org/drawingml/2006/main" xmlns:pic="http://schemas.openxmlformats.org/drawingml/2006/picture">
            <wp:extent cx="5806440" cy="3636283"/>
            <wp:docPr id="7" name="TUI walkthrough 7: Review the result" descr="Open the built-in viewer for a local clinical review."/>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5806440" cy="3636283"/>
                    </a:xfrm>
                    <a:prstGeom prst="rect"/>
                  </pic:spPr>
                </pic:pic>
              </a:graphicData>
            </a:graphic>
          </wp:inline>
        </w:drawing>
      </w:r>
    </w:p>
    <w:p>
      <w:pPr>
        <w:pStyle w:val="Caption"/>
        <w:jc w:val="center"/>
      </w:pPr>
      <w:r>
        <w:t>Figure 7. Open the built-in viewer for a local clinical review.</w:t>
      </w:r>
    </w:p>
    <w:p>
      <w:pPr>
        <w:pStyle w:val="MOPStep"/>
        <w:jc w:val="left"/>
      </w:pPr>
      <w:r>
        <w:t>9. Read the exact two handoff filenames</w:t>
      </w:r>
    </w:p>
    <w:p>
      <w:pPr>
        <w:spacing w:after="120"/>
        <w:keepNext/>
        <w:jc w:val="left"/>
      </w:pPr>
      <w:r>
        <w:t>After the run passes, the controller creates one owner-only hashed handoff copy for each logical CSV. The filenames begin with the notes folder name and source run ID. Notes staged with Prepare compatible copy use the results folder name instead. Nothing is uploaded or sent. Open Check output. It shows concepts.csv (canonical) beside the exact folder-named concepts file to send, then shows the same mapping for drugs.csv. Send the two names on the right. Technical files remains the local artifact viewer and reports AUTOMATIC CSV COPIES READY without repeating the handoff names. Retry automatic CSV copies appears only when the automatic copy needs attention; Prepare automatic CSV copies is for a verified older run without that record. The canonical CSVs remain unchanged for validation, recovery, and local review.</w:t>
      </w:r>
    </w:p>
    <w:p>
      <w:pPr>
        <w:jc w:val="center"/>
        <w:keepNext/>
      </w:pPr>
      <w:r>
        <w:drawing>
          <wp:inline xmlns:a="http://schemas.openxmlformats.org/drawingml/2006/main" xmlns:pic="http://schemas.openxmlformats.org/drawingml/2006/picture">
            <wp:extent cx="5806440" cy="3636283"/>
            <wp:docPr id="8" name="TUI walkthrough 8: Review the local artifacts" descr="Open Technical files to review the canonical CSVs, receipts, and local audit artifacts."/>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5806440" cy="3636283"/>
                    </a:xfrm>
                    <a:prstGeom prst="rect"/>
                  </pic:spPr>
                </pic:pic>
              </a:graphicData>
            </a:graphic>
          </wp:inline>
        </w:drawing>
      </w:r>
    </w:p>
    <w:p>
      <w:pPr>
        <w:pStyle w:val="Caption"/>
        <w:jc w:val="center"/>
      </w:pPr>
      <w:r>
        <w:t>Figure 8. Open Technical files to review the canonical CSVs, receipts, and local audit artifacts.</w:t>
      </w:r>
    </w:p>
    <w:p>
      <w:pPr>
        <w:jc w:val="center"/>
        <w:keepNext/>
      </w:pPr>
      <w:r>
        <w:drawing>
          <wp:inline xmlns:a="http://schemas.openxmlformats.org/drawingml/2006/main" xmlns:pic="http://schemas.openxmlformats.org/drawingml/2006/picture">
            <wp:extent cx="5806440" cy="4236431"/>
            <wp:docPr id="9" name="TUI walkthrough 9: Read the two files to send" descr="Open Check output and read each canonical CSV role beside its exact folder-named file to send."/>
            <wp:cNvGraphicFramePr>
              <a:graphicFrameLocks noChangeAspect="1"/>
            </wp:cNvGraphicFramePr>
            <a:graphic>
              <a:graphicData uri="http://schemas.openxmlformats.org/drawingml/2006/picture">
                <pic:pic>
                  <pic:nvPicPr>
                    <pic:cNvPr id="0" name="09-csv-handoff.png"/>
                    <pic:cNvPicPr/>
                  </pic:nvPicPr>
                  <pic:blipFill>
                    <a:blip r:embed="rId19"/>
                    <a:stretch>
                      <a:fillRect/>
                    </a:stretch>
                  </pic:blipFill>
                  <pic:spPr>
                    <a:xfrm>
                      <a:off x="0" y="0"/>
                      <a:ext cx="5806440" cy="4236431"/>
                    </a:xfrm>
                    <a:prstGeom prst="rect"/>
                  </pic:spPr>
                </pic:pic>
              </a:graphicData>
            </a:graphic>
          </wp:inline>
        </w:drawing>
      </w:r>
    </w:p>
    <w:p>
      <w:pPr>
        <w:pStyle w:val="Caption"/>
        <w:jc w:val="center"/>
      </w:pPr>
      <w:r>
        <w:t>Figure 9. Open Check output and read each canonical CSV role beside its exact folder-named file to send.</w:t>
      </w:r>
    </w:p>
    <w:p>
      <w:pPr>
        <w:pStyle w:val="Heading2"/>
        <w:jc w:val="left"/>
      </w:pPr>
      <w:r>
        <w:t>Files to deliver</w:t>
      </w:r>
    </w:p>
    <w:tbl>
      <w:tblPr>
        <w:tblW w:type="auto" w:w="0"/>
        <w:jc w:val="center"/>
        <w:tblLook w:firstColumn="1" w:firstRow="1" w:lastColumn="0" w:lastRow="0" w:noHBand="0" w:noVBand="1" w:val="04A0"/>
      </w:tblPr>
      <w:tblGrid>
        <w:gridCol w:w="2880"/>
        <w:gridCol w:w="2880"/>
        <w:gridCol w:w="2880"/>
      </w:tblGrid>
      <w:tr>
        <w:tc>
          <w:tcPr>
            <w:tcW w:type="dxa" w:w="2880"/>
            <w:tcBorders>
              <w:top w:val="single" w:sz="8" w:color="D7E3F4"/>
              <w:left w:val="single" w:sz="8" w:color="D7E3F4"/>
              <w:bottom w:val="single" w:sz="8" w:color="D7E3F4"/>
              <w:right w:val="single" w:sz="8" w:color="D7E3F4"/>
            </w:tcBorders>
            <w:shd w:fill="1F4E79"/>
          </w:tcPr>
          <w:p>
            <w:pPr>
              <w:jc w:val="left"/>
            </w:pPr>
            <w:r>
              <w:rPr>
                <w:b/>
                <w:color w:val="FFFFFF"/>
              </w:rPr>
              <w:t>File</w:t>
            </w:r>
          </w:p>
        </w:tc>
        <w:tc>
          <w:tcPr>
            <w:tcW w:type="dxa" w:w="2880"/>
            <w:tcBorders>
              <w:top w:val="single" w:sz="8" w:color="D7E3F4"/>
              <w:left w:val="single" w:sz="8" w:color="D7E3F4"/>
              <w:bottom w:val="single" w:sz="8" w:color="D7E3F4"/>
              <w:right w:val="single" w:sz="8" w:color="D7E3F4"/>
            </w:tcBorders>
            <w:shd w:fill="1F4E79"/>
          </w:tcPr>
          <w:p>
            <w:pPr>
              <w:jc w:val="left"/>
            </w:pPr>
            <w:r>
              <w:rPr>
                <w:b/>
                <w:color w:val="FFFFFF"/>
              </w:rPr>
              <w:t>What it contains</w:t>
            </w:r>
          </w:p>
        </w:tc>
        <w:tc>
          <w:tcPr>
            <w:tcW w:type="dxa" w:w="2880"/>
            <w:tcBorders>
              <w:top w:val="single" w:sz="8" w:color="D7E3F4"/>
              <w:left w:val="single" w:sz="8" w:color="D7E3F4"/>
              <w:bottom w:val="single" w:sz="8" w:color="D7E3F4"/>
              <w:right w:val="single" w:sz="8" w:color="D7E3F4"/>
            </w:tcBorders>
            <w:shd w:fill="1F4E79"/>
          </w:tcPr>
          <w:p>
            <w:pPr>
              <w:jc w:val="left"/>
            </w:pPr>
            <w:r>
              <w:rPr>
                <w:b/>
                <w:color w:val="FFFFFF"/>
              </w:rPr>
              <w:t>Routine handoff</w:t>
            </w:r>
          </w:p>
        </w:tc>
      </w:tr>
      <w:tr>
        <w:tc>
          <w:tcPr>
            <w:tcW w:type="dxa" w:w="2880"/>
            <w:vAlign w:val="center"/>
            <w:tcBorders>
              <w:top w:val="single" w:sz="8" w:color="D7E3F4"/>
              <w:left w:val="single" w:sz="8" w:color="D7E3F4"/>
              <w:bottom w:val="single" w:sz="8" w:color="D7E3F4"/>
              <w:right w:val="single" w:sz="8" w:color="D7E3F4"/>
            </w:tcBorders>
          </w:tcPr>
          <w:p>
            <w:pPr>
              <w:jc w:val="left"/>
            </w:pPr>
            <w:r>
              <w:t>concepts.csv</w:t>
            </w:r>
          </w:p>
        </w:tc>
        <w:tc>
          <w:tcPr>
            <w:tcW w:type="dxa" w:w="2880"/>
            <w:vAlign w:val="center"/>
            <w:tcBorders>
              <w:top w:val="single" w:sz="8" w:color="D7E3F4"/>
              <w:left w:val="single" w:sz="8" w:color="D7E3F4"/>
              <w:bottom w:val="single" w:sz="8" w:color="D7E3F4"/>
              <w:right w:val="single" w:sz="8" w:color="D7E3F4"/>
            </w:tcBorders>
          </w:tcPr>
          <w:p>
            <w:pPr>
              <w:jc w:val="left"/>
            </w:pPr>
            <w:r>
              <w:t>Approved concept extract: 13 selected columns</w:t>
            </w:r>
          </w:p>
        </w:tc>
        <w:tc>
          <w:tcPr>
            <w:tcW w:type="dxa" w:w="2880"/>
            <w:vAlign w:val="center"/>
            <w:tcBorders>
              <w:top w:val="single" w:sz="8" w:color="D7E3F4"/>
              <w:left w:val="single" w:sz="8" w:color="D7E3F4"/>
              <w:bottom w:val="single" w:sz="8" w:color="D7E3F4"/>
              <w:right w:val="single" w:sz="8" w:color="D7E3F4"/>
            </w:tcBorders>
          </w:tcPr>
          <w:p>
            <w:pPr>
              <w:jc w:val="left"/>
            </w:pPr>
            <w:r>
              <w:t>Deliver</w:t>
            </w:r>
          </w:p>
        </w:tc>
      </w:tr>
      <w:tr>
        <w:tc>
          <w:tcPr>
            <w:tcW w:type="dxa" w:w="2880"/>
            <w:vAlign w:val="center"/>
            <w:tcBorders>
              <w:top w:val="single" w:sz="8" w:color="D7E3F4"/>
              <w:left w:val="single" w:sz="8" w:color="D7E3F4"/>
              <w:bottom w:val="single" w:sz="8" w:color="D7E3F4"/>
              <w:right w:val="single" w:sz="8" w:color="D7E3F4"/>
            </w:tcBorders>
          </w:tcPr>
          <w:p>
            <w:pPr>
              <w:jc w:val="left"/>
            </w:pPr>
            <w:r>
              <w:t>drugs.csv</w:t>
            </w:r>
          </w:p>
        </w:tc>
        <w:tc>
          <w:tcPr>
            <w:tcW w:type="dxa" w:w="2880"/>
            <w:vAlign w:val="center"/>
            <w:tcBorders>
              <w:top w:val="single" w:sz="8" w:color="D7E3F4"/>
              <w:left w:val="single" w:sz="8" w:color="D7E3F4"/>
              <w:bottom w:val="single" w:sz="8" w:color="D7E3F4"/>
              <w:right w:val="single" w:sz="8" w:color="D7E3F4"/>
            </w:tcBorders>
          </w:tcPr>
          <w:p>
            <w:pPr>
              <w:jc w:val="left"/>
            </w:pPr>
            <w:r>
              <w:t>Approved medication/RxNorm extract: 16 selected columns</w:t>
            </w:r>
          </w:p>
        </w:tc>
        <w:tc>
          <w:tcPr>
            <w:tcW w:type="dxa" w:w="2880"/>
            <w:vAlign w:val="center"/>
            <w:tcBorders>
              <w:top w:val="single" w:sz="8" w:color="D7E3F4"/>
              <w:left w:val="single" w:sz="8" w:color="D7E3F4"/>
              <w:bottom w:val="single" w:sz="8" w:color="D7E3F4"/>
              <w:right w:val="single" w:sz="8" w:color="D7E3F4"/>
            </w:tcBorders>
          </w:tcPr>
          <w:p>
            <w:pPr>
              <w:jc w:val="left"/>
            </w:pPr>
            <w:r>
              <w:t>Deliver</w:t>
            </w:r>
          </w:p>
        </w:tc>
      </w:tr>
      <w:tr>
        <w:tc>
          <w:tcPr>
            <w:tcW w:type="dxa" w:w="2880"/>
            <w:vAlign w:val="center"/>
            <w:tcBorders>
              <w:top w:val="single" w:sz="8" w:color="D7E3F4"/>
              <w:left w:val="single" w:sz="8" w:color="D7E3F4"/>
              <w:bottom w:val="single" w:sz="8" w:color="D7E3F4"/>
              <w:right w:val="single" w:sz="8" w:color="D7E3F4"/>
            </w:tcBorders>
          </w:tcPr>
          <w:p>
            <w:pPr>
              <w:jc w:val="left"/>
            </w:pPr>
            <w:r>
              <w:t>annotations.sqlite</w:t>
            </w:r>
          </w:p>
        </w:tc>
        <w:tc>
          <w:tcPr>
            <w:tcW w:type="dxa" w:w="2880"/>
            <w:vAlign w:val="center"/>
            <w:tcBorders>
              <w:top w:val="single" w:sz="8" w:color="D7E3F4"/>
              <w:left w:val="single" w:sz="8" w:color="D7E3F4"/>
              <w:bottom w:val="single" w:sz="8" w:color="D7E3F4"/>
              <w:right w:val="single" w:sz="8" w:color="D7E3F4"/>
            </w:tcBorders>
          </w:tcPr>
          <w:p>
            <w:pPr>
              <w:jc w:val="left"/>
            </w:pPr>
            <w:r>
              <w:t>Local checked database; powers the viewer and validation</w:t>
            </w:r>
          </w:p>
        </w:tc>
        <w:tc>
          <w:tcPr>
            <w:tcW w:type="dxa" w:w="2880"/>
            <w:vAlign w:val="center"/>
            <w:tcBorders>
              <w:top w:val="single" w:sz="8" w:color="D7E3F4"/>
              <w:left w:val="single" w:sz="8" w:color="D7E3F4"/>
              <w:bottom w:val="single" w:sz="8" w:color="D7E3F4"/>
              <w:right w:val="single" w:sz="8" w:color="D7E3F4"/>
            </w:tcBorders>
          </w:tcPr>
          <w:p>
            <w:pPr>
              <w:jc w:val="left"/>
            </w:pPr>
            <w:r>
              <w:t>Keep local</w:t>
            </w:r>
          </w:p>
        </w:tc>
      </w:tr>
      <w:tr>
        <w:tc>
          <w:tcPr>
            <w:tcW w:type="dxa" w:w="2880"/>
            <w:vAlign w:val="center"/>
            <w:tcBorders>
              <w:top w:val="single" w:sz="8" w:color="D7E3F4"/>
              <w:left w:val="single" w:sz="8" w:color="D7E3F4"/>
              <w:bottom w:val="single" w:sz="8" w:color="D7E3F4"/>
              <w:right w:val="single" w:sz="8" w:color="D7E3F4"/>
            </w:tcBorders>
          </w:tcPr>
          <w:p>
            <w:pPr>
              <w:jc w:val="left"/>
            </w:pPr>
            <w:r>
              <w:t>Receipts, logs, manifests</w:t>
            </w:r>
          </w:p>
        </w:tc>
        <w:tc>
          <w:tcPr>
            <w:tcW w:type="dxa" w:w="2880"/>
            <w:vAlign w:val="center"/>
            <w:tcBorders>
              <w:top w:val="single" w:sz="8" w:color="D7E3F4"/>
              <w:left w:val="single" w:sz="8" w:color="D7E3F4"/>
              <w:bottom w:val="single" w:sz="8" w:color="D7E3F4"/>
              <w:right w:val="single" w:sz="8" w:color="D7E3F4"/>
            </w:tcBorders>
          </w:tcPr>
          <w:p>
            <w:pPr>
              <w:jc w:val="left"/>
            </w:pPr>
            <w:r>
              <w:t>Run identity, hashes, checks, and troubleshooting evidence</w:t>
            </w:r>
          </w:p>
        </w:tc>
        <w:tc>
          <w:tcPr>
            <w:tcW w:type="dxa" w:w="2880"/>
            <w:vAlign w:val="center"/>
            <w:tcBorders>
              <w:top w:val="single" w:sz="8" w:color="D7E3F4"/>
              <w:left w:val="single" w:sz="8" w:color="D7E3F4"/>
              <w:bottom w:val="single" w:sz="8" w:color="D7E3F4"/>
              <w:right w:val="single" w:sz="8" w:color="D7E3F4"/>
            </w:tcBorders>
          </w:tcPr>
          <w:p>
            <w:pPr>
              <w:jc w:val="left"/>
            </w:pPr>
            <w:r>
              <w:t>Keep local</w:t>
            </w:r>
          </w:p>
        </w:tc>
      </w:tr>
      <w:tr>
        <w:tc>
          <w:tcPr>
            <w:tcW w:type="dxa" w:w="2880"/>
            <w:vAlign w:val="center"/>
            <w:tcBorders>
              <w:top w:val="single" w:sz="8" w:color="D7E3F4"/>
              <w:left w:val="single" w:sz="8" w:color="D7E3F4"/>
              <w:bottom w:val="single" w:sz="8" w:color="D7E3F4"/>
              <w:right w:val="single" w:sz="8" w:color="D7E3F4"/>
            </w:tcBorders>
          </w:tcPr>
          <w:p>
            <w:pPr>
              <w:jc w:val="left"/>
            </w:pPr>
            <w:r>
              <w:t>Optional XMI or browser HTML</w:t>
            </w:r>
          </w:p>
        </w:tc>
        <w:tc>
          <w:tcPr>
            <w:tcW w:type="dxa" w:w="2880"/>
            <w:vAlign w:val="center"/>
            <w:tcBorders>
              <w:top w:val="single" w:sz="8" w:color="D7E3F4"/>
              <w:left w:val="single" w:sz="8" w:color="D7E3F4"/>
              <w:bottom w:val="single" w:sz="8" w:color="D7E3F4"/>
              <w:right w:val="single" w:sz="8" w:color="D7E3F4"/>
            </w:tcBorders>
          </w:tcPr>
          <w:p>
            <w:pPr>
              <w:jc w:val="left"/>
            </w:pPr>
            <w:r>
              <w:t>Comparison/review artifacts that can include full note text</w:t>
            </w:r>
          </w:p>
        </w:tc>
        <w:tc>
          <w:tcPr>
            <w:tcW w:type="dxa" w:w="2880"/>
            <w:vAlign w:val="center"/>
            <w:tcBorders>
              <w:top w:val="single" w:sz="8" w:color="D7E3F4"/>
              <w:left w:val="single" w:sz="8" w:color="D7E3F4"/>
              <w:bottom w:val="single" w:sz="8" w:color="D7E3F4"/>
              <w:right w:val="single" w:sz="8" w:color="D7E3F4"/>
            </w:tcBorders>
          </w:tcPr>
          <w:p>
            <w:pPr>
              <w:jc w:val="left"/>
            </w:pPr>
            <w:r>
              <w:t>Keep local</w:t>
            </w:r>
          </w:p>
        </w:tc>
      </w:tr>
    </w:tbl>
    <w:p>
      <w:pPr>
        <w:jc w:val="left"/>
      </w:pPr>
      <w:r>
        <w:rPr>
          <w:b/>
        </w:rPr>
        <w:t xml:space="preserve">Routine handoff: </w:t>
      </w:r>
      <w:r>
        <w:t xml:space="preserve">concepts.csv and drugs.csv only. </w:t>
      </w:r>
      <w:r>
        <w:t>All other artifacts stay local for validation, audit, traceability, review, or recovery unless they are explicitly requested and approved.</w:t>
      </w:r>
    </w:p>
    <w:p>
      <w:pPr>
        <w:pStyle w:val="Heading2"/>
        <w:jc w:val="left"/>
      </w:pPr>
      <w:r>
        <w:t>Current online guide</w:t>
      </w:r>
    </w:p>
    <w:p>
      <w:pPr>
        <w:jc w:val="left"/>
      </w:pPr>
      <w:r>
        <w:t xml:space="preserve">The public walkthrough has the same numbered directions and full-size screenshots: </w:t>
      </w:r>
      <w:hyperlink r:id="rId20">
        <w:r>
          <w:rPr>
            <w:color w:val="0563C1"/>
            <w:u w:val="single"/>
          </w:rPr>
          <w:t>https://ctakesusd.dev/tui-guide/</w:t>
        </w:r>
      </w:hyperlink>
      <w:r>
        <w:t xml:space="preserve">. Installation source and release notes: </w:t>
      </w:r>
      <w:hyperlink r:id="rId21">
        <w:r>
          <w:rPr>
            <w:color w:val="0563C1"/>
            <w:u w:val="single"/>
          </w:rPr>
          <w:t>Codeberg cTAKES USD</w:t>
        </w:r>
      </w:hyperlink>
      <w:r>
        <w:t>.</w:t>
      </w:r>
    </w:p>
    <w:sectPr w:rsidR="00B95B0E" w:rsidSect="00034616">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CB7D" w14:textId="77777777" w:rsidR="00A602D7" w:rsidRDefault="00A602D7">
      <w:pPr>
        <w:spacing w:after="0" w:line="240" w:lineRule="auto"/>
      </w:pPr>
      <w:r>
        <w:separator/>
      </w:r>
    </w:p>
  </w:endnote>
  <w:endnote w:type="continuationSeparator" w:id="0">
    <w:p w14:paraId="39580AFC" w14:textId="77777777" w:rsidR="00A602D7" w:rsidRDefault="00A6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dy C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B839" w14:textId="77777777" w:rsidR="00B95B0E" w:rsidRDefault="00A602D7">
    <w:pPr>
      <w:jc w:val="center"/>
    </w:pPr>
    <w:r>
      <w:rPr>
        <w:color w:val="646464"/>
        <w:sz w:val="16"/>
      </w:rPr>
      <w:t>Updated July 23, 2026 | cTAKES USD 2.1.19 | Dr. Layth Qassem, PharmD, MSACI</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Updated July 25, 2026 | cTAKES USD 2.1.19 | Dr. Layth Qassem, PharmD, MSACI</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Updated July 25, 2026 | cTAKES USD 2.1.19 | Dr. Layth Qassem, PharmD, MSACI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29CB" w14:textId="77777777" w:rsidR="00A602D7" w:rsidRDefault="00A602D7">
      <w:pPr>
        <w:spacing w:after="0" w:line="240" w:lineRule="auto"/>
      </w:pPr>
      <w:r>
        <w:separator/>
      </w:r>
    </w:p>
  </w:footnote>
  <w:footnote w:type="continuationSeparator" w:id="0">
    <w:p w14:paraId="2AE144B9" w14:textId="77777777" w:rsidR="00A602D7" w:rsidRDefault="00A60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991"/>
    <w:multiLevelType w:val="hybridMultilevel"/>
    <w:tmpl w:val="E348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75DE8"/>
    <w:multiLevelType w:val="hybridMultilevel"/>
    <w:tmpl w:val="8280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0431A"/>
    <w:multiLevelType w:val="hybridMultilevel"/>
    <w:tmpl w:val="1680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81CEA"/>
    <w:multiLevelType w:val="hybridMultilevel"/>
    <w:tmpl w:val="D68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586F3E"/>
    <w:multiLevelType w:val="hybridMultilevel"/>
    <w:tmpl w:val="B48E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843884">
    <w:abstractNumId w:val="0"/>
  </w:num>
  <w:num w:numId="2" w16cid:durableId="1726565782">
    <w:abstractNumId w:val="1"/>
  </w:num>
  <w:num w:numId="3" w16cid:durableId="260067398">
    <w:abstractNumId w:val="3"/>
  </w:num>
  <w:num w:numId="4" w16cid:durableId="653027366">
    <w:abstractNumId w:val="2"/>
  </w:num>
  <w:num w:numId="5" w16cid:durableId="859703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53"/>
    <w:rsid w:val="0000000A"/>
    <w:rsid w:val="00005AD8"/>
    <w:rsid w:val="0007319A"/>
    <w:rsid w:val="00082897"/>
    <w:rsid w:val="000B3DD4"/>
    <w:rsid w:val="000C4B95"/>
    <w:rsid w:val="000C4C19"/>
    <w:rsid w:val="000D5D45"/>
    <w:rsid w:val="000F0230"/>
    <w:rsid w:val="000F7343"/>
    <w:rsid w:val="00111B63"/>
    <w:rsid w:val="00126901"/>
    <w:rsid w:val="00165C90"/>
    <w:rsid w:val="00173D28"/>
    <w:rsid w:val="001900FF"/>
    <w:rsid w:val="001901FD"/>
    <w:rsid w:val="001C38D2"/>
    <w:rsid w:val="001D5D31"/>
    <w:rsid w:val="00240822"/>
    <w:rsid w:val="0024110E"/>
    <w:rsid w:val="002433B0"/>
    <w:rsid w:val="00252F72"/>
    <w:rsid w:val="00254CD0"/>
    <w:rsid w:val="00286BD4"/>
    <w:rsid w:val="002C6F89"/>
    <w:rsid w:val="002D5A03"/>
    <w:rsid w:val="002D6855"/>
    <w:rsid w:val="00304896"/>
    <w:rsid w:val="00305BA2"/>
    <w:rsid w:val="003349A5"/>
    <w:rsid w:val="00336D9A"/>
    <w:rsid w:val="003404E6"/>
    <w:rsid w:val="003819BA"/>
    <w:rsid w:val="003A65B4"/>
    <w:rsid w:val="003E5A0C"/>
    <w:rsid w:val="003E7299"/>
    <w:rsid w:val="003F6862"/>
    <w:rsid w:val="004105AC"/>
    <w:rsid w:val="0042414E"/>
    <w:rsid w:val="00432A1A"/>
    <w:rsid w:val="00486468"/>
    <w:rsid w:val="00490EC9"/>
    <w:rsid w:val="004B010E"/>
    <w:rsid w:val="004F5AE1"/>
    <w:rsid w:val="00533BC5"/>
    <w:rsid w:val="00543826"/>
    <w:rsid w:val="00546F03"/>
    <w:rsid w:val="00560102"/>
    <w:rsid w:val="00580C56"/>
    <w:rsid w:val="005A62B6"/>
    <w:rsid w:val="005B75C5"/>
    <w:rsid w:val="00623644"/>
    <w:rsid w:val="00633769"/>
    <w:rsid w:val="0066231B"/>
    <w:rsid w:val="00673433"/>
    <w:rsid w:val="00676198"/>
    <w:rsid w:val="006D553B"/>
    <w:rsid w:val="006E2711"/>
    <w:rsid w:val="007006BF"/>
    <w:rsid w:val="00700830"/>
    <w:rsid w:val="00711891"/>
    <w:rsid w:val="00713213"/>
    <w:rsid w:val="007163A5"/>
    <w:rsid w:val="0073639E"/>
    <w:rsid w:val="00786E1C"/>
    <w:rsid w:val="007B650C"/>
    <w:rsid w:val="007E175F"/>
    <w:rsid w:val="007F758D"/>
    <w:rsid w:val="007F7E2F"/>
    <w:rsid w:val="00800F54"/>
    <w:rsid w:val="008018CA"/>
    <w:rsid w:val="0082313C"/>
    <w:rsid w:val="00860387"/>
    <w:rsid w:val="00860DF9"/>
    <w:rsid w:val="00913E0B"/>
    <w:rsid w:val="0096703A"/>
    <w:rsid w:val="009E7B4A"/>
    <w:rsid w:val="009F4BD6"/>
    <w:rsid w:val="00A17453"/>
    <w:rsid w:val="00A458E8"/>
    <w:rsid w:val="00A602D7"/>
    <w:rsid w:val="00A707F8"/>
    <w:rsid w:val="00A82663"/>
    <w:rsid w:val="00AA4A51"/>
    <w:rsid w:val="00AA4CCA"/>
    <w:rsid w:val="00AD3F1D"/>
    <w:rsid w:val="00AE002A"/>
    <w:rsid w:val="00B10CD6"/>
    <w:rsid w:val="00B25190"/>
    <w:rsid w:val="00B2557E"/>
    <w:rsid w:val="00B45B1B"/>
    <w:rsid w:val="00B546CF"/>
    <w:rsid w:val="00B60716"/>
    <w:rsid w:val="00B7271F"/>
    <w:rsid w:val="00B8657A"/>
    <w:rsid w:val="00B95B0E"/>
    <w:rsid w:val="00BC5ED7"/>
    <w:rsid w:val="00BD373D"/>
    <w:rsid w:val="00BD72F3"/>
    <w:rsid w:val="00C44485"/>
    <w:rsid w:val="00C7255A"/>
    <w:rsid w:val="00CB31BA"/>
    <w:rsid w:val="00CB5129"/>
    <w:rsid w:val="00D425AA"/>
    <w:rsid w:val="00DA7E7D"/>
    <w:rsid w:val="00DB587A"/>
    <w:rsid w:val="00DC21D9"/>
    <w:rsid w:val="00E0201B"/>
    <w:rsid w:val="00E22B3F"/>
    <w:rsid w:val="00E27C9D"/>
    <w:rsid w:val="00E64F55"/>
    <w:rsid w:val="00E6789F"/>
    <w:rsid w:val="00ED33FA"/>
    <w:rsid w:val="00F469E4"/>
    <w:rsid w:val="00F52D38"/>
    <w:rsid w:val="00F956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3952"/>
  <w15:chartTrackingRefBased/>
  <w15:docId w15:val="{BC3BC334-5B8A-409B-BC08-76C1ACB3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3"/>
    <w:qFormat/>
    <w:rsid w:val="00304896"/>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B546CF"/>
    <w:pPr>
      <w:keepNext/>
      <w:keepLines/>
      <w:spacing w:before="360" w:after="80"/>
      <w:outlineLvl w:val="0"/>
    </w:pPr>
    <w:rPr>
      <w:rFonts w:asciiTheme="majorHAnsi" w:eastAsiaTheme="majorEastAsia" w:hAnsiTheme="majorHAnsi" w:cstheme="majorBidi" w:ascii="Aptos Display" w:hAnsi="Aptos Display"/>
      <w:color w:val="1F4E79"/>
      <w:sz w:val="40"/>
      <w:szCs w:val="40"/>
    </w:rPr>
  </w:style>
  <w:style w:type="paragraph" w:styleId="Heading2">
    <w:name w:val="heading 2"/>
    <w:basedOn w:val="Normal"/>
    <w:next w:val="Normal"/>
    <w:link w:val="Heading2Char"/>
    <w:uiPriority w:val="9"/>
    <w:semiHidden/>
    <w:unhideWhenUsed/>
    <w:qFormat/>
    <w:rsid w:val="00B546CF"/>
    <w:pPr>
      <w:keepNext/>
      <w:keepLines/>
      <w:spacing w:before="160" w:after="80"/>
      <w:outlineLvl w:val="1"/>
    </w:pPr>
    <w:rPr>
      <w:rFonts w:asciiTheme="majorHAnsi" w:eastAsiaTheme="majorEastAsia" w:hAnsiTheme="majorHAnsi" w:cstheme="majorBidi" w:ascii="Aptos Display" w:hAnsi="Aptos Display"/>
      <w:color w:val="1F4E79"/>
      <w:sz w:val="32"/>
      <w:szCs w:val="32"/>
    </w:rPr>
  </w:style>
  <w:style w:type="paragraph" w:styleId="Heading3">
    <w:name w:val="heading 3"/>
    <w:basedOn w:val="TOC3"/>
    <w:next w:val="Normal"/>
    <w:link w:val="Heading3Char"/>
    <w:autoRedefine/>
    <w:uiPriority w:val="9"/>
    <w:unhideWhenUsed/>
    <w:qFormat/>
    <w:rsid w:val="00C44485"/>
    <w:pPr>
      <w:spacing w:after="0" w:line="240" w:lineRule="auto"/>
      <w:outlineLvl w:val="2"/>
    </w:pPr>
    <w:rPr>
      <w:rFonts w:eastAsiaTheme="minorHAnsi"/>
      <w:sz w:val="24"/>
      <w:szCs w:val="24"/>
    </w:rPr>
  </w:style>
  <w:style w:type="paragraph" w:styleId="Heading4">
    <w:name w:val="heading 4"/>
    <w:basedOn w:val="Normal"/>
    <w:next w:val="Normal"/>
    <w:link w:val="Heading4Char"/>
    <w:uiPriority w:val="9"/>
    <w:semiHidden/>
    <w:unhideWhenUsed/>
    <w:qFormat/>
    <w:rsid w:val="00A17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2"/>
    <w:qFormat/>
    <w:rsid w:val="00B546CF"/>
    <w:pPr>
      <w:spacing w:before="40" w:after="0"/>
    </w:pPr>
    <w:rPr>
      <w:b/>
      <w:sz w:val="26"/>
      <w:szCs w:val="26"/>
    </w:rPr>
  </w:style>
  <w:style w:type="character" w:customStyle="1" w:styleId="Heading2Char">
    <w:name w:val="Heading 2 Char"/>
    <w:basedOn w:val="DefaultParagraphFont"/>
    <w:link w:val="Heading2"/>
    <w:uiPriority w:val="9"/>
    <w:semiHidden/>
    <w:rsid w:val="00B546CF"/>
    <w:rPr>
      <w:rFonts w:asciiTheme="majorHAnsi" w:eastAsiaTheme="majorEastAsia" w:hAnsiTheme="majorHAnsi" w:cstheme="majorBidi"/>
      <w:color w:val="0F4761" w:themeColor="accent1" w:themeShade="BF"/>
      <w:sz w:val="32"/>
      <w:szCs w:val="32"/>
    </w:rPr>
  </w:style>
  <w:style w:type="paragraph" w:customStyle="1" w:styleId="Style3">
    <w:name w:val="Style3"/>
    <w:basedOn w:val="Normal"/>
    <w:next w:val="Heading3"/>
    <w:autoRedefine/>
    <w:qFormat/>
    <w:rsid w:val="00304896"/>
    <w:rPr>
      <w:rFonts w:ascii="Arial" w:hAnsi="Arial" w:cs="Arial"/>
      <w:i/>
      <w:iCs/>
      <w:color w:val="000000" w:themeColor="text1"/>
      <w:u w:val="single"/>
    </w:rPr>
  </w:style>
  <w:style w:type="character" w:customStyle="1" w:styleId="Heading1Char">
    <w:name w:val="Heading 1 Char"/>
    <w:basedOn w:val="DefaultParagraphFont"/>
    <w:link w:val="Heading1"/>
    <w:uiPriority w:val="9"/>
    <w:rsid w:val="00B546C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C44485"/>
    <w:rPr>
      <w:rFonts w:ascii="Arial" w:hAnsi="Arial" w:cs="Arial"/>
      <w:i/>
      <w:iCs/>
      <w:color w:val="000000" w:themeColor="text1"/>
      <w:u w:val="single"/>
    </w:rPr>
  </w:style>
  <w:style w:type="paragraph" w:styleId="TOC3">
    <w:name w:val="toc 3"/>
    <w:basedOn w:val="Heading31"/>
    <w:next w:val="Normal"/>
    <w:autoRedefine/>
    <w:uiPriority w:val="39"/>
    <w:unhideWhenUsed/>
    <w:qFormat/>
    <w:rsid w:val="00304896"/>
  </w:style>
  <w:style w:type="paragraph" w:customStyle="1" w:styleId="Style5">
    <w:name w:val="Style5"/>
    <w:basedOn w:val="Normal"/>
    <w:next w:val="Heading2"/>
    <w:autoRedefine/>
    <w:qFormat/>
    <w:rsid w:val="00304896"/>
    <w:rPr>
      <w:rFonts w:ascii="Arial" w:hAnsi="Arial" w:cs="Arial"/>
      <w:b/>
      <w:bCs/>
      <w:color w:val="215E99" w:themeColor="text2" w:themeTint="BF"/>
    </w:rPr>
  </w:style>
  <w:style w:type="paragraph" w:customStyle="1" w:styleId="Heading31">
    <w:name w:val="Heading 31"/>
    <w:basedOn w:val="Normal"/>
    <w:next w:val="Style3"/>
    <w:autoRedefine/>
    <w:qFormat/>
    <w:rsid w:val="00BD373D"/>
    <w:rPr>
      <w:rFonts w:ascii="Arial" w:hAnsi="Arial" w:cs="Arial"/>
      <w:i/>
      <w:iCs/>
      <w:color w:val="000000" w:themeColor="text1"/>
      <w:u w:val="single"/>
    </w:rPr>
  </w:style>
  <w:style w:type="paragraph" w:customStyle="1" w:styleId="Style4">
    <w:name w:val="Style4"/>
    <w:basedOn w:val="Heading3"/>
    <w:next w:val="Heading3"/>
    <w:autoRedefine/>
    <w:qFormat/>
    <w:rsid w:val="00BD373D"/>
    <w:pPr>
      <w:jc w:val="left"/>
    </w:pPr>
    <w:rPr>
      <w:rFonts w:asciiTheme="minorHAnsi" w:eastAsiaTheme="minorEastAsia" w:hAnsiTheme="minorHAnsi" w:cs="Arial (Body CS)"/>
      <w:b/>
      <w:i w:val="0"/>
      <w:color w:val="auto"/>
      <w:spacing w:val="5"/>
    </w:rPr>
  </w:style>
  <w:style w:type="character" w:customStyle="1" w:styleId="Heading4Char">
    <w:name w:val="Heading 4 Char"/>
    <w:basedOn w:val="DefaultParagraphFont"/>
    <w:link w:val="Heading4"/>
    <w:uiPriority w:val="9"/>
    <w:semiHidden/>
    <w:rsid w:val="00A17453"/>
    <w:rPr>
      <w:rFonts w:eastAsiaTheme="majorEastAsia" w:cstheme="majorBidi"/>
      <w:i/>
      <w:iCs/>
      <w:color w:val="0F4761" w:themeColor="accent1" w:themeShade="BF"/>
      <w:sz w:val="20"/>
      <w:szCs w:val="20"/>
    </w:rPr>
  </w:style>
  <w:style w:type="character" w:customStyle="1" w:styleId="Heading5Char">
    <w:name w:val="Heading 5 Char"/>
    <w:basedOn w:val="DefaultParagraphFont"/>
    <w:link w:val="Heading5"/>
    <w:uiPriority w:val="9"/>
    <w:semiHidden/>
    <w:rsid w:val="00A17453"/>
    <w:rPr>
      <w:rFonts w:eastAsiaTheme="majorEastAsia" w:cstheme="majorBidi"/>
      <w:color w:val="0F4761" w:themeColor="accent1" w:themeShade="BF"/>
      <w:sz w:val="20"/>
      <w:szCs w:val="20"/>
    </w:rPr>
  </w:style>
  <w:style w:type="character" w:customStyle="1" w:styleId="Heading6Char">
    <w:name w:val="Heading 6 Char"/>
    <w:basedOn w:val="DefaultParagraphFont"/>
    <w:link w:val="Heading6"/>
    <w:uiPriority w:val="9"/>
    <w:semiHidden/>
    <w:rsid w:val="00A17453"/>
    <w:rPr>
      <w:rFonts w:eastAsiaTheme="majorEastAsia" w:cstheme="majorBidi"/>
      <w:i/>
      <w:iCs/>
      <w:color w:val="595959" w:themeColor="text1" w:themeTint="A6"/>
      <w:sz w:val="20"/>
      <w:szCs w:val="20"/>
    </w:rPr>
  </w:style>
  <w:style w:type="character" w:customStyle="1" w:styleId="Heading7Char">
    <w:name w:val="Heading 7 Char"/>
    <w:basedOn w:val="DefaultParagraphFont"/>
    <w:link w:val="Heading7"/>
    <w:uiPriority w:val="9"/>
    <w:semiHidden/>
    <w:rsid w:val="00A17453"/>
    <w:rPr>
      <w:rFonts w:eastAsiaTheme="majorEastAsia" w:cstheme="majorBidi"/>
      <w:color w:val="595959" w:themeColor="text1" w:themeTint="A6"/>
      <w:sz w:val="20"/>
      <w:szCs w:val="20"/>
    </w:rPr>
  </w:style>
  <w:style w:type="character" w:customStyle="1" w:styleId="Heading8Char">
    <w:name w:val="Heading 8 Char"/>
    <w:basedOn w:val="DefaultParagraphFont"/>
    <w:link w:val="Heading8"/>
    <w:uiPriority w:val="9"/>
    <w:semiHidden/>
    <w:rsid w:val="00A17453"/>
    <w:rPr>
      <w:rFonts w:eastAsiaTheme="majorEastAsia" w:cstheme="majorBidi"/>
      <w:i/>
      <w:iCs/>
      <w:color w:val="272727" w:themeColor="text1" w:themeTint="D8"/>
      <w:sz w:val="20"/>
      <w:szCs w:val="20"/>
    </w:rPr>
  </w:style>
  <w:style w:type="character" w:customStyle="1" w:styleId="Heading9Char">
    <w:name w:val="Heading 9 Char"/>
    <w:basedOn w:val="DefaultParagraphFont"/>
    <w:link w:val="Heading9"/>
    <w:uiPriority w:val="9"/>
    <w:semiHidden/>
    <w:rsid w:val="00A17453"/>
    <w:rPr>
      <w:rFonts w:eastAsiaTheme="majorEastAsia" w:cstheme="majorBidi"/>
      <w:color w:val="272727" w:themeColor="text1" w:themeTint="D8"/>
      <w:sz w:val="20"/>
      <w:szCs w:val="20"/>
    </w:rPr>
  </w:style>
  <w:style w:type="paragraph" w:styleId="Title">
    <w:name w:val="Title"/>
    <w:basedOn w:val="Normal"/>
    <w:next w:val="Normal"/>
    <w:link w:val="TitleChar"/>
    <w:uiPriority w:val="10"/>
    <w:qFormat/>
    <w:rsid w:val="00A17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4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4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7453"/>
    <w:rPr>
      <w:rFonts w:eastAsiaTheme="minorEastAsia"/>
      <w:i/>
      <w:iCs/>
      <w:color w:val="404040" w:themeColor="text1" w:themeTint="BF"/>
      <w:sz w:val="20"/>
      <w:szCs w:val="20"/>
    </w:rPr>
  </w:style>
  <w:style w:type="paragraph" w:styleId="ListParagraph">
    <w:name w:val="List Paragraph"/>
    <w:basedOn w:val="Normal"/>
    <w:uiPriority w:val="34"/>
    <w:qFormat/>
    <w:rsid w:val="00A17453"/>
    <w:pPr>
      <w:ind w:left="720"/>
      <w:contextualSpacing/>
    </w:pPr>
  </w:style>
  <w:style w:type="character" w:styleId="IntenseEmphasis">
    <w:name w:val="Intense Emphasis"/>
    <w:basedOn w:val="DefaultParagraphFont"/>
    <w:uiPriority w:val="21"/>
    <w:qFormat/>
    <w:rsid w:val="00A17453"/>
    <w:rPr>
      <w:i/>
      <w:iCs/>
      <w:color w:val="0F4761" w:themeColor="accent1" w:themeShade="BF"/>
    </w:rPr>
  </w:style>
  <w:style w:type="paragraph" w:styleId="IntenseQuote">
    <w:name w:val="Intense Quote"/>
    <w:basedOn w:val="Normal"/>
    <w:next w:val="Normal"/>
    <w:link w:val="IntenseQuoteChar"/>
    <w:uiPriority w:val="30"/>
    <w:qFormat/>
    <w:rsid w:val="00A17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453"/>
    <w:rPr>
      <w:rFonts w:eastAsiaTheme="minorEastAsia"/>
      <w:i/>
      <w:iCs/>
      <w:color w:val="0F4761" w:themeColor="accent1" w:themeShade="BF"/>
      <w:sz w:val="20"/>
      <w:szCs w:val="20"/>
    </w:rPr>
  </w:style>
  <w:style w:type="character" w:styleId="IntenseReference">
    <w:name w:val="Intense Reference"/>
    <w:basedOn w:val="DefaultParagraphFont"/>
    <w:uiPriority w:val="32"/>
    <w:qFormat/>
    <w:rsid w:val="00A17453"/>
    <w:rPr>
      <w:b/>
      <w:bCs/>
      <w:smallCaps/>
      <w:color w:val="0F4761" w:themeColor="accent1" w:themeShade="BF"/>
      <w:spacing w:val="5"/>
    </w:rPr>
  </w:style>
  <w:style w:type="paragraph" w:customStyle="1" w:styleId="paragraph">
    <w:name w:val="paragraph"/>
    <w:basedOn w:val="Normal"/>
    <w:rsid w:val="00A1745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A17453"/>
  </w:style>
  <w:style w:type="character" w:customStyle="1" w:styleId="eop">
    <w:name w:val="eop"/>
    <w:basedOn w:val="DefaultParagraphFont"/>
    <w:rsid w:val="00A17453"/>
  </w:style>
  <w:style w:type="character" w:customStyle="1" w:styleId="apple-converted-space">
    <w:name w:val="apple-converted-space"/>
    <w:basedOn w:val="DefaultParagraphFont"/>
    <w:rsid w:val="00A17453"/>
  </w:style>
  <w:style w:type="character" w:styleId="CommentReference">
    <w:name w:val="annotation reference"/>
    <w:basedOn w:val="DefaultParagraphFont"/>
    <w:uiPriority w:val="99"/>
    <w:semiHidden/>
    <w:unhideWhenUsed/>
    <w:rsid w:val="00A17453"/>
    <w:rPr>
      <w:sz w:val="16"/>
      <w:szCs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27C9D"/>
    <w:rPr>
      <w:b/>
      <w:bCs/>
    </w:rPr>
  </w:style>
  <w:style w:type="character" w:customStyle="1" w:styleId="CommentSubjectChar">
    <w:name w:val="Comment Subject Char"/>
    <w:basedOn w:val="CommentTextChar"/>
    <w:link w:val="CommentSubject"/>
    <w:uiPriority w:val="99"/>
    <w:semiHidden/>
    <w:rsid w:val="00E27C9D"/>
    <w:rPr>
      <w:rFonts w:eastAsiaTheme="minorEastAsia"/>
      <w:b/>
      <w:bCs/>
      <w:sz w:val="20"/>
      <w:szCs w:val="20"/>
    </w:rPr>
  </w:style>
  <w:style w:type="paragraph" w:styleId="Revision">
    <w:name w:val="Revision"/>
    <w:hidden/>
    <w:uiPriority w:val="99"/>
    <w:semiHidden/>
    <w:rsid w:val="00633769"/>
    <w:rPr>
      <w:rFonts w:eastAsiaTheme="minorEastAsia"/>
      <w:sz w:val="20"/>
      <w:szCs w:val="20"/>
    </w:rPr>
  </w:style>
  <w:style w:type="character" w:styleId="Hyperlink">
    <w:name w:val="Hyperlink"/>
    <w:basedOn w:val="DefaultParagraphFont"/>
    <w:uiPriority w:val="99"/>
    <w:unhideWhenUsed/>
    <w:rsid w:val="00533BC5"/>
    <w:rPr>
      <w:color w:val="467886" w:themeColor="hyperlink"/>
      <w:u w:val="single"/>
    </w:rPr>
  </w:style>
  <w:style w:type="character" w:styleId="FollowedHyperlink">
    <w:name w:val="FollowedHyperlink"/>
    <w:basedOn w:val="DefaultParagraphFont"/>
    <w:uiPriority w:val="99"/>
    <w:semiHidden/>
    <w:unhideWhenUsed/>
    <w:rsid w:val="00711891"/>
    <w:rPr>
      <w:color w:val="96607D" w:themeColor="followedHyperlink"/>
      <w:u w:val="single"/>
    </w:rPr>
  </w:style>
  <w:style w:type="character" w:styleId="UnresolvedMention">
    <w:name w:val="Unresolved Mention"/>
    <w:basedOn w:val="DefaultParagraphFont"/>
    <w:uiPriority w:val="99"/>
    <w:semiHidden/>
    <w:unhideWhenUsed/>
    <w:rsid w:val="00C44485"/>
    <w:rPr>
      <w:color w:val="605E5C"/>
      <w:shd w:val="clear" w:color="auto" w:fill="E1DFDD"/>
    </w:rPr>
  </w:style>
  <w:style w:type="paragraph" w:customStyle="1" w:styleId="MOPStep">
    <w:name w:val="MOP Step"/>
    <w:basedOn w:val="Heading2"/>
    <w:pPr>
      <w:spacing w:before="200" w:after="80"/>
      <w:keepNext/>
    </w:pPr>
    <w:rPr>
      <w:rFonts w:ascii="Aptos Display" w:hAnsi="Aptos Display"/>
      <w:b/>
      <w:color w:val="1F4E79"/>
      <w:sz w:val="26"/>
    </w:rPr>
  </w:style>
  <w:style w:type="paragraph" w:customStyle="1" w:styleId="Caption1">
    <w:name w:val="Caption1"/>
    <w:basedOn w:val="Normal"/>
    <w:rPr>
      <w:rFonts w:ascii="Aptos" w:hAnsi="Aptos"/>
      <w:i/>
      <w:color w:val="505050"/>
      <w:sz w:val="17"/>
    </w:rPr>
  </w:style>
  <w:style w:type="paragraph" w:customStyle="1" w:styleId="Caption">
    <w:name w:val="caption"/>
    <w:basedOn w:val="Normal"/>
    <w:rPr>
      <w:rFonts w:ascii="Aptos" w:hAnsi="Aptos"/>
      <w:i/>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hena.ohdsi.org/search-terms/terms?conceptClass=Note+Type" TargetMode="External"/><Relationship Id="rId3" Type="http://schemas.openxmlformats.org/officeDocument/2006/relationships/settings" Target="settings.xml"/><Relationship Id="rId7" Type="http://schemas.openxmlformats.org/officeDocument/2006/relationships/hyperlink" Target="https://ohdsi.github.io/CommonDataMode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hyperlink" Target="https://ohdsi.github.io/CommonDataModel/cdm54.html" TargetMode="External"/><Relationship Id="rId4" Type="http://schemas.openxmlformats.org/officeDocument/2006/relationships/webSettings" Target="webSettings.xml"/><Relationship Id="rId9" Type="http://schemas.openxmlformats.org/officeDocument/2006/relationships/hyperlink" Target="https://ohdsi.github.io/CommonDataModel/cdm54.html" TargetMode="External"/><Relationship Id="rId22" Type="http://schemas.openxmlformats.org/officeDocument/2006/relationships/footer" Target="footer1.xml"/><Relationship Id="rId25"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10.png"/><Relationship Id="rId20" Type="http://schemas.openxmlformats.org/officeDocument/2006/relationships/hyperlink" Target="https://ctakesusd.dev/tui-guide/" TargetMode="External"/><Relationship Id="rId21" Type="http://schemas.openxmlformats.org/officeDocument/2006/relationships/hyperlink" Target="https://codeberg.org/editnori/Ctakes_USD" TargetMode="External"/><Relationship Id="rId2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1345</Words>
  <Characters>7675</Characters>
  <Application>Microsoft Office Word</Application>
  <DocSecurity>0</DocSecurity>
  <Lines>224</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 MOP - cTAKES USD TUI instructions</dc:title>
  <dc:subject>Phase I note preparation and Phase II cTAKES USD TUI workflow</dc:subject>
  <dc:creator>Dr. Layth Qassem, PharmD, MSACI</dc:creator>
  <cp:keywords/>
  <dc:description>Phase I preserved from the reviewed source; Phase II updated for cTAKES USD 2.1.19 with a split browser-to-shell trust boundary.</dc:description>
  <cp:lastModifiedBy>Dr. Layth Qassem, PharmD, MSACI</cp:lastModifiedBy>
  <cp:revision>1</cp:revision>
  <dcterms:created xsi:type="dcterms:W3CDTF">2026-07-09T07:06:00Z</dcterms:created>
  <dcterms:modified xsi:type="dcterms:W3CDTF">2026-07-23T09:14:00Z</dcterms:modified>
</cp:coreProperties>
</file>